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1"/>
        <w:keepNext w:val="0"/>
        <w:keepLines w:val="0"/>
        <w:spacing w:before="100" w:after="0" w:line="560" w:lineRule="exact"/>
        <w:rPr>
          <w:rFonts w:ascii="標楷體" w:cs="標楷體" w:hAnsi="標楷體" w:eastAsia="標楷體"/>
          <w:sz w:val="44"/>
          <w:szCs w:val="44"/>
        </w:rPr>
      </w:pPr>
      <w:r>
        <w:rPr>
          <w:rFonts w:ascii="標楷體" w:hAnsi="標楷體"/>
          <w:sz w:val="42"/>
          <w:szCs w:val="42"/>
          <w:rtl w:val="0"/>
          <w:lang w:val="en-US"/>
        </w:rPr>
        <w:t>1</w:t>
      </w:r>
      <w:r>
        <w:rPr>
          <w:rFonts w:ascii="標楷體" w:hAnsi="標楷體"/>
          <w:sz w:val="44"/>
          <w:szCs w:val="44"/>
          <w:rtl w:val="0"/>
          <w:lang w:val="en-US"/>
        </w:rPr>
        <w:t xml:space="preserve">15 </w:t>
      </w:r>
      <w:r>
        <w:rPr>
          <w:rFonts w:eastAsia="標楷體" w:hint="eastAsia"/>
          <w:sz w:val="44"/>
          <w:szCs w:val="44"/>
          <w:rtl w:val="0"/>
          <w:lang w:val="zh-TW" w:eastAsia="zh-TW"/>
        </w:rPr>
        <w:t>年度開發乳製品（乳清與白脫乳</w:t>
      </w:r>
      <w:r>
        <w:rPr>
          <w:rFonts w:ascii="標楷體" w:hAnsi="標楷體"/>
          <w:sz w:val="44"/>
          <w:szCs w:val="44"/>
          <w:rtl w:val="0"/>
          <w:lang w:val="en-US"/>
        </w:rPr>
        <w:t>/</w:t>
      </w:r>
      <w:r>
        <w:rPr>
          <w:rFonts w:eastAsia="標楷體" w:hint="eastAsia"/>
          <w:sz w:val="44"/>
          <w:szCs w:val="44"/>
          <w:rtl w:val="0"/>
          <w:lang w:val="zh-TW" w:eastAsia="zh-TW"/>
        </w:rPr>
        <w:t>酪乳）</w:t>
      </w:r>
      <w:bookmarkStart w:name="_bn8xecykc79b" w:id="0"/>
      <w:bookmarkEnd w:id="0"/>
      <w:r>
        <w:rPr>
          <w:rFonts w:eastAsia="標楷體" w:hint="eastAsia"/>
          <w:sz w:val="44"/>
          <w:szCs w:val="44"/>
          <w:rtl w:val="0"/>
          <w:lang w:val="zh-TW" w:eastAsia="zh-TW"/>
        </w:rPr>
        <w:t>產</w:t>
      </w:r>
      <w:r>
        <w:rPr>
          <w:rFonts w:eastAsia="標楷體" w:hint="eastAsia"/>
          <w:sz w:val="44"/>
          <w:szCs w:val="44"/>
          <w:rtl w:val="0"/>
          <w:lang w:val="zh-TW" w:eastAsia="zh-TW"/>
        </w:rPr>
        <w:t>品獎勵遴選要點</w:t>
      </w:r>
      <w:r>
        <w:rPr>
          <w:rFonts w:ascii="標楷體" w:hAnsi="標楷體"/>
          <w:sz w:val="44"/>
          <w:szCs w:val="44"/>
          <w:rtl w:val="0"/>
          <w:lang w:val="en-US"/>
        </w:rPr>
        <w:t xml:space="preserve"> </w:t>
      </w:r>
    </w:p>
    <w:p>
      <w:pPr>
        <w:pStyle w:val="Normal.0"/>
        <w:spacing w:before="120"/>
        <w:jc w:val="right"/>
        <w:rPr>
          <w:rFonts w:ascii="標楷體" w:cs="標楷體" w:hAnsi="標楷體" w:eastAsia="標楷體"/>
        </w:rPr>
      </w:pPr>
      <w:r>
        <w:rPr>
          <w:rFonts w:ascii="標楷體" w:hAnsi="標楷體" w:hint="default"/>
          <w:rtl w:val="0"/>
          <w:lang w:val="en-US"/>
        </w:rPr>
        <w:t>◎</w:t>
      </w:r>
      <w:r>
        <w:rPr>
          <w:rFonts w:eastAsia="標楷體" w:hint="eastAsia"/>
          <w:rtl w:val="0"/>
          <w:lang w:val="zh-TW" w:eastAsia="zh-TW"/>
        </w:rPr>
        <w:t>經農業部中華民國</w:t>
      </w:r>
      <w:r>
        <w:rPr>
          <w:rFonts w:ascii="標楷體" w:hAnsi="標楷體"/>
          <w:rtl w:val="0"/>
          <w:lang w:val="en-US"/>
        </w:rPr>
        <w:t>115</w:t>
      </w:r>
      <w:r>
        <w:rPr>
          <w:rFonts w:eastAsia="標楷體" w:hint="eastAsia"/>
          <w:rtl w:val="0"/>
          <w:lang w:val="zh-TW" w:eastAsia="zh-TW"/>
        </w:rPr>
        <w:t>年</w:t>
      </w:r>
      <w:r>
        <w:rPr>
          <w:rFonts w:ascii="標楷體" w:hAnsi="標楷體"/>
          <w:rtl w:val="0"/>
          <w:lang w:val="en-US"/>
        </w:rPr>
        <w:t>5</w:t>
      </w:r>
      <w:r>
        <w:rPr>
          <w:rFonts w:eastAsia="標楷體" w:hint="eastAsia"/>
          <w:rtl w:val="0"/>
          <w:lang w:val="zh-TW" w:eastAsia="zh-TW"/>
        </w:rPr>
        <w:t>月</w:t>
      </w:r>
      <w:r>
        <w:rPr>
          <w:rFonts w:ascii="標楷體" w:hAnsi="標楷體"/>
          <w:rtl w:val="0"/>
          <w:lang w:val="en-US"/>
        </w:rPr>
        <w:t>20</w:t>
      </w:r>
      <w:r>
        <w:rPr>
          <w:rFonts w:eastAsia="標楷體" w:hint="eastAsia"/>
          <w:rtl w:val="0"/>
          <w:lang w:val="zh-TW" w:eastAsia="zh-TW"/>
        </w:rPr>
        <w:t>日農牧字第</w:t>
      </w:r>
      <w:r>
        <w:rPr>
          <w:rFonts w:ascii="標楷體" w:hAnsi="標楷體"/>
          <w:rtl w:val="0"/>
          <w:lang w:val="en-US"/>
        </w:rPr>
        <w:t>1150711405</w:t>
      </w:r>
      <w:r>
        <w:rPr>
          <w:rFonts w:eastAsia="標楷體" w:hint="eastAsia"/>
          <w:rtl w:val="0"/>
          <w:lang w:val="zh-TW" w:eastAsia="zh-TW"/>
        </w:rPr>
        <w:t>號函核備</w:t>
      </w:r>
    </w:p>
    <w:p>
      <w:pPr>
        <w:pStyle w:val="Normal.0"/>
        <w:spacing w:before="120" w:line="20" w:lineRule="atLeast"/>
        <w:rPr>
          <w:rFonts w:ascii="標楷體" w:cs="標楷體" w:hAnsi="標楷體" w:eastAsia="標楷體"/>
        </w:rPr>
      </w:pPr>
      <w:r>
        <w:rPr>
          <w:rFonts w:ascii="標楷體" w:cs="標楷體" w:hAnsi="標楷體" w:eastAsia="標楷體"/>
        </w:rPr>
        <mc:AlternateContent>
          <mc:Choice Requires="wps">
            <w:drawing xmlns:a="http://schemas.openxmlformats.org/drawingml/2006/main">
              <wp:inline distT="0" distB="0" distL="0" distR="0">
                <wp:extent cx="5943600" cy="19050"/>
                <wp:effectExtent l="0" t="0" r="0" b="0"/>
                <wp:docPr id="1073741826" name="officeArt object" descr="矩形"/>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heading 2"/>
        <w:keepNext w:val="0"/>
        <w:keepLines w:val="0"/>
        <w:spacing w:before="0" w:after="0" w:line="440" w:lineRule="exact"/>
        <w:rPr>
          <w:rFonts w:ascii="標楷體" w:cs="標楷體" w:hAnsi="標楷體" w:eastAsia="標楷體"/>
          <w:sz w:val="36"/>
          <w:szCs w:val="36"/>
          <w:lang w:val="zh-TW" w:eastAsia="zh-TW"/>
        </w:rPr>
      </w:pPr>
      <w:bookmarkStart w:name="_qda97d9frqa" w:id="1"/>
      <w:bookmarkEnd w:id="1"/>
      <w:r>
        <w:rPr>
          <w:rFonts w:eastAsia="標楷體" w:hint="eastAsia"/>
          <w:sz w:val="36"/>
          <w:szCs w:val="36"/>
          <w:rtl w:val="0"/>
          <w:lang w:val="zh-TW" w:eastAsia="zh-TW"/>
        </w:rPr>
        <w:t>一</w:t>
      </w:r>
      <w:r>
        <w:rPr>
          <w:rFonts w:eastAsia="標楷體" w:hint="eastAsia"/>
          <w:sz w:val="36"/>
          <w:szCs w:val="36"/>
          <w:rtl w:val="0"/>
          <w:lang w:val="zh-TW" w:eastAsia="zh-TW"/>
        </w:rPr>
        <w:t>、目的</w:t>
      </w:r>
    </w:p>
    <w:p>
      <w:pPr>
        <w:pStyle w:val="Normal.0"/>
        <w:spacing w:line="288" w:lineRule="auto"/>
        <w:ind w:firstLine="720"/>
        <w:rPr>
          <w:rFonts w:ascii="標楷體" w:cs="標楷體" w:hAnsi="標楷體" w:eastAsia="標楷體"/>
          <w:outline w:val="0"/>
          <w:color w:val="0e0e0e"/>
          <w:sz w:val="28"/>
          <w:szCs w:val="28"/>
          <w:u w:color="0e0e0e"/>
          <w14:textFill>
            <w14:solidFill>
              <w14:srgbClr w14:val="0E0E0E"/>
            </w14:solidFill>
          </w14:textFill>
        </w:rPr>
      </w:pPr>
      <w:r>
        <w:rPr>
          <w:rFonts w:eastAsia="標楷體" w:hint="eastAsia"/>
          <w:sz w:val="28"/>
          <w:szCs w:val="28"/>
          <w:rtl w:val="0"/>
          <w:lang w:val="zh-TW" w:eastAsia="zh-TW"/>
        </w:rPr>
        <w:t>本要點將驅動乳品製造業者及個人工作室投入與創新，擴大國產生產乳產製多元乳製品，透過計畫促進潛在者投入、激勵現有生產者創新，將國產生乳轉化為附加價值較高的起司、奶油、鮮奶油及乳製品製程產生之副產物</w:t>
      </w:r>
      <w:r>
        <w:rPr>
          <w:rFonts w:ascii="標楷體" w:hAnsi="標楷體" w:hint="default"/>
          <w:sz w:val="28"/>
          <w:szCs w:val="28"/>
          <w:rtl w:val="0"/>
          <w:lang w:val="en-US"/>
        </w:rPr>
        <w:t>—</w:t>
      </w:r>
      <w:r>
        <w:rPr>
          <w:rFonts w:eastAsia="標楷體" w:hint="eastAsia"/>
          <w:sz w:val="28"/>
          <w:szCs w:val="28"/>
          <w:rtl w:val="0"/>
          <w:lang w:val="zh-TW" w:eastAsia="zh-TW"/>
        </w:rPr>
        <w:t xml:space="preserve">乳清 </w:t>
      </w:r>
      <w:r>
        <w:rPr>
          <w:rFonts w:ascii="標楷體" w:hAnsi="標楷體"/>
          <w:sz w:val="28"/>
          <w:szCs w:val="28"/>
          <w:rtl w:val="0"/>
          <w:lang w:val="en-US"/>
        </w:rPr>
        <w:t xml:space="preserve">(Whey) </w:t>
      </w:r>
      <w:r>
        <w:rPr>
          <w:rFonts w:eastAsia="標楷體" w:hint="eastAsia"/>
          <w:sz w:val="28"/>
          <w:szCs w:val="28"/>
          <w:rtl w:val="0"/>
          <w:lang w:val="zh-TW" w:eastAsia="zh-TW"/>
        </w:rPr>
        <w:t>與白脫乳</w:t>
      </w:r>
      <w:r>
        <w:rPr>
          <w:rFonts w:ascii="標楷體" w:hAnsi="標楷體"/>
          <w:sz w:val="28"/>
          <w:szCs w:val="28"/>
          <w:rtl w:val="0"/>
          <w:lang w:val="en-US"/>
        </w:rPr>
        <w:t>/</w:t>
      </w:r>
      <w:r>
        <w:rPr>
          <w:rFonts w:eastAsia="標楷體" w:hint="eastAsia"/>
          <w:sz w:val="28"/>
          <w:szCs w:val="28"/>
          <w:rtl w:val="0"/>
          <w:lang w:val="zh-TW" w:eastAsia="zh-TW"/>
        </w:rPr>
        <w:t xml:space="preserve">酪乳 </w:t>
      </w:r>
      <w:r>
        <w:rPr>
          <w:rFonts w:ascii="標楷體" w:hAnsi="標楷體"/>
          <w:sz w:val="28"/>
          <w:szCs w:val="28"/>
          <w:rtl w:val="0"/>
          <w:lang w:val="en-US"/>
        </w:rPr>
        <w:t>(Buttermilk)</w:t>
      </w:r>
      <w:r>
        <w:rPr>
          <w:rFonts w:eastAsia="標楷體" w:hint="eastAsia"/>
          <w:sz w:val="28"/>
          <w:szCs w:val="28"/>
          <w:rtl w:val="0"/>
          <w:lang w:val="zh-TW" w:eastAsia="zh-TW"/>
        </w:rPr>
        <w:t>，提升資源利用效率並轉化為具市場潛力之產品，特辦理本獎勵遴選計畫，以建立國產乳製品加值再利用之示範模式。</w:t>
      </w:r>
    </w:p>
    <w:p>
      <w:pPr>
        <w:pStyle w:val="Normal.0"/>
        <w:spacing w:before="100" w:line="480" w:lineRule="exact"/>
        <w:rPr>
          <w:rFonts w:ascii="標楷體" w:cs="標楷體" w:hAnsi="標楷體" w:eastAsia="標楷體"/>
          <w:sz w:val="36"/>
          <w:szCs w:val="36"/>
        </w:rPr>
      </w:pPr>
      <w:r>
        <w:rPr>
          <w:rFonts w:eastAsia="標楷體" w:hint="eastAsia"/>
          <w:sz w:val="36"/>
          <w:szCs w:val="36"/>
          <w:rtl w:val="0"/>
          <w:lang w:val="zh-TW" w:eastAsia="zh-TW"/>
        </w:rPr>
        <w:t>二、依據：</w:t>
      </w:r>
      <w:r>
        <w:rPr>
          <w:rFonts w:eastAsia="標楷體" w:hint="eastAsia"/>
          <w:sz w:val="28"/>
          <w:szCs w:val="28"/>
          <w:rtl w:val="0"/>
          <w:lang w:val="zh-TW" w:eastAsia="zh-TW"/>
        </w:rPr>
        <w:t>本獎勵遴選要點係依據農業部</w:t>
      </w:r>
      <w:r>
        <w:rPr>
          <w:rFonts w:ascii="標楷體" w:hAnsi="標楷體"/>
          <w:sz w:val="28"/>
          <w:szCs w:val="28"/>
          <w:rtl w:val="0"/>
          <w:lang w:val="en-US"/>
        </w:rPr>
        <w:t>115</w:t>
      </w:r>
      <w:r>
        <w:rPr>
          <w:rFonts w:eastAsia="標楷體" w:hint="eastAsia"/>
          <w:sz w:val="28"/>
          <w:szCs w:val="28"/>
          <w:rtl w:val="0"/>
          <w:lang w:val="zh-TW" w:eastAsia="zh-TW"/>
        </w:rPr>
        <w:t>年「強化多元國產乳製品產銷</w:t>
      </w:r>
      <w:r>
        <w:rPr>
          <w:rFonts w:ascii="標楷體" w:hAnsi="標楷體"/>
          <w:sz w:val="28"/>
          <w:szCs w:val="28"/>
          <w:rtl w:val="0"/>
          <w:lang w:val="en-US"/>
        </w:rPr>
        <w:t xml:space="preserve"> </w:t>
      </w:r>
      <w:r>
        <w:rPr>
          <w:rFonts w:eastAsia="標楷體" w:hint="eastAsia"/>
          <w:sz w:val="28"/>
          <w:szCs w:val="28"/>
          <w:rtl w:val="0"/>
          <w:lang w:val="zh-TW" w:eastAsia="zh-TW"/>
        </w:rPr>
        <w:t>鏈推廣計畫」</w:t>
      </w:r>
      <w:r>
        <w:rPr>
          <w:rFonts w:ascii="標楷體" w:hAnsi="標楷體"/>
          <w:sz w:val="28"/>
          <w:szCs w:val="28"/>
          <w:rtl w:val="0"/>
          <w:lang w:val="en-US"/>
        </w:rPr>
        <w:t>(115</w:t>
      </w:r>
      <w:r>
        <w:rPr>
          <w:rFonts w:eastAsia="標楷體" w:hint="eastAsia"/>
          <w:sz w:val="28"/>
          <w:szCs w:val="28"/>
          <w:rtl w:val="0"/>
          <w:lang w:val="zh-TW" w:eastAsia="zh-TW"/>
        </w:rPr>
        <w:t>救助調整</w:t>
      </w:r>
      <w:r>
        <w:rPr>
          <w:rFonts w:ascii="標楷體" w:hAnsi="標楷體"/>
          <w:sz w:val="28"/>
          <w:szCs w:val="28"/>
          <w:rtl w:val="0"/>
          <w:lang w:val="en-US"/>
        </w:rPr>
        <w:t>-1.2-</w:t>
      </w:r>
      <w:r>
        <w:rPr>
          <w:rFonts w:eastAsia="標楷體" w:hint="eastAsia"/>
          <w:sz w:val="28"/>
          <w:szCs w:val="28"/>
          <w:rtl w:val="0"/>
          <w:lang w:val="zh-TW" w:eastAsia="zh-TW"/>
        </w:rPr>
        <w:t>牧</w:t>
      </w:r>
      <w:r>
        <w:rPr>
          <w:rFonts w:ascii="標楷體" w:hAnsi="標楷體"/>
          <w:sz w:val="28"/>
          <w:szCs w:val="28"/>
          <w:rtl w:val="0"/>
          <w:lang w:val="en-US"/>
        </w:rPr>
        <w:t>-02)</w:t>
      </w:r>
      <w:r>
        <w:rPr>
          <w:rFonts w:eastAsia="標楷體" w:hint="eastAsia"/>
          <w:sz w:val="28"/>
          <w:szCs w:val="28"/>
          <w:rtl w:val="0"/>
          <w:lang w:val="zh-TW" w:eastAsia="zh-TW"/>
        </w:rPr>
        <w:t>辦理。</w:t>
      </w:r>
    </w:p>
    <w:p>
      <w:pPr>
        <w:pStyle w:val="heading 2"/>
        <w:keepNext w:val="0"/>
        <w:keepLines w:val="0"/>
        <w:spacing w:before="100" w:after="0" w:line="480" w:lineRule="exact"/>
        <w:rPr>
          <w:rFonts w:ascii="標楷體" w:cs="標楷體" w:hAnsi="標楷體" w:eastAsia="標楷體"/>
          <w:sz w:val="36"/>
          <w:szCs w:val="36"/>
          <w:lang w:val="zh-TW" w:eastAsia="zh-TW"/>
        </w:rPr>
      </w:pPr>
      <w:bookmarkStart w:name="_blowuvhi7hcn" w:id="2"/>
      <w:bookmarkEnd w:id="2"/>
      <w:r>
        <w:rPr>
          <w:rFonts w:eastAsia="標楷體" w:hint="eastAsia"/>
          <w:sz w:val="36"/>
          <w:szCs w:val="36"/>
          <w:rtl w:val="0"/>
          <w:lang w:val="zh-TW" w:eastAsia="zh-TW"/>
        </w:rPr>
        <w:t>三</w:t>
      </w:r>
      <w:r>
        <w:rPr>
          <w:rFonts w:eastAsia="標楷體" w:hint="eastAsia"/>
          <w:sz w:val="36"/>
          <w:szCs w:val="36"/>
          <w:rtl w:val="0"/>
          <w:lang w:val="zh-TW" w:eastAsia="zh-TW"/>
        </w:rPr>
        <w:t>、辦理單位</w:t>
      </w:r>
    </w:p>
    <w:p>
      <w:pPr>
        <w:pStyle w:val="Normal.0"/>
        <w:spacing w:line="480" w:lineRule="exact"/>
        <w:ind w:firstLine="708"/>
        <w:rPr>
          <w:rFonts w:ascii="標楷體" w:cs="標楷體" w:hAnsi="標楷體" w:eastAsia="標楷體"/>
          <w:sz w:val="28"/>
          <w:szCs w:val="28"/>
          <w:lang w:val="zh-TW" w:eastAsia="zh-TW"/>
        </w:rPr>
      </w:pPr>
      <w:r>
        <w:rPr>
          <w:rFonts w:eastAsia="標楷體" w:hint="eastAsia"/>
          <w:sz w:val="28"/>
          <w:szCs w:val="28"/>
          <w:rtl w:val="0"/>
          <w:lang w:val="zh-TW" w:eastAsia="zh-TW"/>
        </w:rPr>
        <w:t>指導單位：農業部</w:t>
      </w:r>
    </w:p>
    <w:p>
      <w:pPr>
        <w:pStyle w:val="Normal.0"/>
        <w:spacing w:line="480" w:lineRule="exact"/>
        <w:ind w:firstLine="708"/>
        <w:rPr>
          <w:rFonts w:ascii="標楷體" w:cs="標楷體" w:hAnsi="標楷體" w:eastAsia="標楷體"/>
        </w:rPr>
      </w:pPr>
      <w:r>
        <w:rPr>
          <w:rFonts w:eastAsia="標楷體" w:hint="eastAsia"/>
          <w:sz w:val="28"/>
          <w:szCs w:val="28"/>
          <w:rtl w:val="0"/>
          <w:lang w:val="zh-TW" w:eastAsia="zh-TW"/>
        </w:rPr>
        <w:t>主辦單位：臺灣起司專門協會</w:t>
      </w:r>
      <w:r>
        <w:rPr>
          <w:rFonts w:ascii="標楷體" w:hAnsi="標楷體"/>
          <w:sz w:val="28"/>
          <w:szCs w:val="28"/>
          <w:rtl w:val="0"/>
          <w:lang w:val="en-US"/>
        </w:rPr>
        <w:t>(</w:t>
      </w:r>
      <w:r>
        <w:rPr>
          <w:rFonts w:eastAsia="標楷體" w:hint="eastAsia"/>
          <w:sz w:val="28"/>
          <w:szCs w:val="28"/>
          <w:rtl w:val="0"/>
          <w:lang w:val="zh-TW" w:eastAsia="zh-TW"/>
        </w:rPr>
        <w:t>以下簡稱主辦單位</w:t>
      </w:r>
      <w:r>
        <w:rPr>
          <w:rFonts w:ascii="標楷體" w:hAnsi="標楷體"/>
          <w:sz w:val="28"/>
          <w:szCs w:val="28"/>
          <w:rtl w:val="0"/>
          <w:lang w:val="en-US"/>
        </w:rPr>
        <w:t>)</w:t>
      </w:r>
    </w:p>
    <w:p>
      <w:pPr>
        <w:pStyle w:val="heading 2"/>
        <w:keepNext w:val="0"/>
        <w:keepLines w:val="0"/>
        <w:spacing w:before="100" w:after="0" w:line="480" w:lineRule="exact"/>
        <w:rPr>
          <w:rFonts w:ascii="標楷體" w:cs="標楷體" w:hAnsi="標楷體" w:eastAsia="標楷體"/>
          <w:sz w:val="36"/>
          <w:szCs w:val="36"/>
          <w:lang w:val="zh-TW" w:eastAsia="zh-TW"/>
        </w:rPr>
      </w:pPr>
      <w:bookmarkStart w:name="_mx84ed10e8vm" w:id="3"/>
      <w:bookmarkEnd w:id="3"/>
      <w:r>
        <w:rPr>
          <w:rFonts w:eastAsia="標楷體" w:hint="eastAsia"/>
          <w:sz w:val="36"/>
          <w:szCs w:val="36"/>
          <w:rtl w:val="0"/>
          <w:lang w:val="zh-TW" w:eastAsia="zh-TW"/>
        </w:rPr>
        <w:t>四</w:t>
      </w:r>
      <w:r>
        <w:rPr>
          <w:rFonts w:eastAsia="標楷體" w:hint="eastAsia"/>
          <w:sz w:val="36"/>
          <w:szCs w:val="36"/>
          <w:rtl w:val="0"/>
          <w:lang w:val="zh-TW" w:eastAsia="zh-TW"/>
        </w:rPr>
        <w:t>、遴選對象與</w:t>
      </w:r>
      <w:bookmarkStart w:name="_a7qb538n40er" w:id="4"/>
      <w:bookmarkEnd w:id="4"/>
      <w:r>
        <w:rPr>
          <w:rFonts w:eastAsia="標楷體" w:hint="eastAsia"/>
          <w:sz w:val="36"/>
          <w:szCs w:val="36"/>
          <w:rtl w:val="0"/>
          <w:lang w:val="zh-TW" w:eastAsia="zh-TW"/>
        </w:rPr>
        <w:t>分</w:t>
      </w:r>
      <w:r>
        <w:rPr>
          <w:rFonts w:eastAsia="標楷體" w:hint="eastAsia"/>
          <w:sz w:val="36"/>
          <w:szCs w:val="36"/>
          <w:rtl w:val="0"/>
          <w:lang w:val="zh-TW" w:eastAsia="zh-TW"/>
        </w:rPr>
        <w:t>組：</w:t>
      </w:r>
    </w:p>
    <w:p>
      <w:pPr>
        <w:pStyle w:val="heading 2"/>
        <w:keepNext w:val="0"/>
        <w:keepLines w:val="0"/>
        <w:spacing w:before="0" w:after="0" w:line="480" w:lineRule="exact"/>
        <w:rPr>
          <w:rFonts w:ascii="標楷體" w:cs="標楷體" w:hAnsi="標楷體" w:eastAsia="標楷體"/>
          <w:sz w:val="36"/>
          <w:szCs w:val="36"/>
          <w:lang w:val="zh-TW" w:eastAsia="zh-TW"/>
        </w:rPr>
      </w:pPr>
      <w:r>
        <w:rPr>
          <w:rFonts w:eastAsia="標楷體" w:hint="eastAsia"/>
          <w:sz w:val="28"/>
          <w:szCs w:val="28"/>
          <w:rtl w:val="0"/>
          <w:lang w:val="zh-TW" w:eastAsia="zh-TW"/>
        </w:rPr>
        <w:t>不限規模，凡依法登記之食品、農業、生技相關企業、農民團體或學研團隊均可參加。</w:t>
      </w:r>
    </w:p>
    <w:p>
      <w:pPr>
        <w:pStyle w:val="List Paragraph"/>
        <w:numPr>
          <w:ilvl w:val="0"/>
          <w:numId w:val="2"/>
        </w:numPr>
        <w:bidi w:val="0"/>
        <w:spacing w:line="480" w:lineRule="exact"/>
        <w:ind w:right="0"/>
        <w:jc w:val="left"/>
        <w:rPr>
          <w:rFonts w:eastAsia="標楷體" w:hint="eastAsia"/>
          <w:sz w:val="32"/>
          <w:szCs w:val="32"/>
          <w:rtl w:val="0"/>
          <w:lang w:val="zh-TW" w:eastAsia="zh-TW"/>
        </w:rPr>
      </w:pPr>
      <w:r>
        <w:rPr>
          <w:rFonts w:eastAsia="標楷體" w:hint="eastAsia"/>
          <w:sz w:val="32"/>
          <w:szCs w:val="32"/>
          <w:rtl w:val="0"/>
          <w:lang w:val="zh-TW" w:eastAsia="zh-TW"/>
        </w:rPr>
        <w:t>食品應用組</w:t>
      </w:r>
      <w:r>
        <w:rPr>
          <w:rFonts w:eastAsia="標楷體" w:hint="eastAsia"/>
          <w:sz w:val="28"/>
          <w:szCs w:val="28"/>
          <w:rtl w:val="0"/>
          <w:lang w:val="zh-TW" w:eastAsia="zh-TW"/>
        </w:rPr>
        <w:t>：包含烘焙、飲品、抹醬、調味品或即食食品等。</w:t>
      </w:r>
    </w:p>
    <w:p>
      <w:pPr>
        <w:pStyle w:val="List Paragraph"/>
        <w:numPr>
          <w:ilvl w:val="0"/>
          <w:numId w:val="2"/>
        </w:numPr>
        <w:bidi w:val="0"/>
        <w:spacing w:line="480" w:lineRule="exact"/>
        <w:ind w:right="0"/>
        <w:jc w:val="left"/>
        <w:rPr>
          <w:rFonts w:eastAsia="標楷體" w:hint="eastAsia"/>
          <w:sz w:val="32"/>
          <w:szCs w:val="32"/>
          <w:rtl w:val="0"/>
          <w:lang w:val="zh-TW" w:eastAsia="zh-TW"/>
        </w:rPr>
      </w:pPr>
      <w:r>
        <w:rPr>
          <w:rFonts w:eastAsia="標楷體" w:hint="eastAsia"/>
          <w:sz w:val="32"/>
          <w:szCs w:val="32"/>
          <w:rtl w:val="0"/>
          <w:lang w:val="zh-TW" w:eastAsia="zh-TW"/>
        </w:rPr>
        <w:t>非食品應用組</w:t>
      </w:r>
      <w:r>
        <w:rPr>
          <w:rFonts w:eastAsia="標楷體" w:hint="eastAsia"/>
          <w:sz w:val="28"/>
          <w:szCs w:val="28"/>
          <w:rtl w:val="0"/>
          <w:lang w:val="zh-TW" w:eastAsia="zh-TW"/>
        </w:rPr>
        <w:t>：包含美容保養、寵物食品、生物科技材料或環保資材等應用。</w:t>
      </w:r>
    </w:p>
    <w:p>
      <w:pPr>
        <w:pStyle w:val="Normal.0"/>
        <w:spacing w:before="100" w:line="480" w:lineRule="exact"/>
        <w:rPr>
          <w:rFonts w:ascii="標楷體" w:cs="標楷體" w:hAnsi="標楷體" w:eastAsia="標楷體"/>
          <w:sz w:val="36"/>
          <w:szCs w:val="36"/>
          <w:lang w:val="zh-TW" w:eastAsia="zh-TW"/>
        </w:rPr>
      </w:pPr>
      <w:r>
        <w:rPr>
          <w:rFonts w:eastAsia="標楷體" w:hint="eastAsia"/>
          <w:sz w:val="36"/>
          <w:szCs w:val="36"/>
          <w:rtl w:val="0"/>
          <w:lang w:val="zh-TW" w:eastAsia="zh-TW"/>
        </w:rPr>
        <w:t>五、產品與原料規範</w:t>
      </w:r>
    </w:p>
    <w:p>
      <w:pPr>
        <w:pStyle w:val="Normal.0"/>
        <w:spacing w:line="480" w:lineRule="exact"/>
        <w:rPr>
          <w:rFonts w:ascii="標楷體" w:cs="標楷體" w:hAnsi="標楷體" w:eastAsia="標楷體"/>
          <w:sz w:val="28"/>
          <w:szCs w:val="28"/>
        </w:rPr>
      </w:pPr>
      <w:r>
        <w:rPr>
          <w:rFonts w:ascii="標楷體" w:hAnsi="標楷體"/>
          <w:sz w:val="32"/>
          <w:szCs w:val="32"/>
          <w:rtl w:val="0"/>
          <w:lang w:val="en-US"/>
        </w:rPr>
        <w:t xml:space="preserve">   1.</w:t>
      </w:r>
      <w:r>
        <w:rPr>
          <w:rFonts w:eastAsia="標楷體" w:hint="eastAsia"/>
          <w:sz w:val="32"/>
          <w:szCs w:val="32"/>
          <w:rtl w:val="0"/>
          <w:lang w:val="zh-TW" w:eastAsia="zh-TW"/>
        </w:rPr>
        <w:t>國產原料證明</w:t>
      </w:r>
      <w:r>
        <w:rPr>
          <w:rFonts w:eastAsia="標楷體" w:hint="eastAsia"/>
          <w:sz w:val="28"/>
          <w:szCs w:val="28"/>
          <w:rtl w:val="0"/>
          <w:lang w:val="zh-TW" w:eastAsia="zh-TW"/>
        </w:rPr>
        <w:t>：須使用「液態國產乳清或白脫乳」。</w:t>
      </w:r>
    </w:p>
    <w:p>
      <w:pPr>
        <w:pStyle w:val="List Paragraph"/>
        <w:numPr>
          <w:ilvl w:val="0"/>
          <w:numId w:val="4"/>
        </w:numPr>
        <w:bidi w:val="0"/>
        <w:spacing w:line="480" w:lineRule="exact"/>
        <w:ind w:right="0"/>
        <w:jc w:val="left"/>
        <w:rPr>
          <w:rFonts w:eastAsia="標楷體" w:hint="eastAsia"/>
          <w:sz w:val="32"/>
          <w:szCs w:val="32"/>
          <w:rtl w:val="0"/>
          <w:lang w:val="zh-TW" w:eastAsia="zh-TW"/>
        </w:rPr>
      </w:pPr>
      <w:r>
        <w:rPr>
          <w:rFonts w:eastAsia="標楷體" w:hint="eastAsia"/>
          <w:sz w:val="32"/>
          <w:szCs w:val="32"/>
          <w:rtl w:val="0"/>
          <w:lang w:val="zh-TW" w:eastAsia="zh-TW"/>
        </w:rPr>
        <w:t>業者自產者</w:t>
      </w:r>
      <w:r>
        <w:rPr>
          <w:rFonts w:eastAsia="標楷體" w:hint="eastAsia"/>
          <w:sz w:val="28"/>
          <w:szCs w:val="28"/>
          <w:rtl w:val="0"/>
          <w:lang w:val="zh-TW" w:eastAsia="zh-TW"/>
        </w:rPr>
        <w:t>：須檢附該批次起司或奶油之生產紀錄影本。</w:t>
      </w:r>
    </w:p>
    <w:p>
      <w:pPr>
        <w:pStyle w:val="List Paragraph"/>
        <w:numPr>
          <w:ilvl w:val="0"/>
          <w:numId w:val="4"/>
        </w:numPr>
        <w:bidi w:val="0"/>
        <w:spacing w:line="480" w:lineRule="exact"/>
        <w:ind w:right="0"/>
        <w:jc w:val="left"/>
        <w:rPr>
          <w:rFonts w:eastAsia="標楷體" w:hint="eastAsia"/>
          <w:sz w:val="32"/>
          <w:szCs w:val="32"/>
          <w:rtl w:val="0"/>
          <w:lang w:val="zh-TW" w:eastAsia="zh-TW"/>
        </w:rPr>
      </w:pPr>
      <w:r>
        <w:rPr>
          <w:rFonts w:eastAsia="標楷體" w:hint="eastAsia"/>
          <w:sz w:val="32"/>
          <w:szCs w:val="32"/>
          <w:rtl w:val="0"/>
          <w:lang w:val="zh-TW" w:eastAsia="zh-TW"/>
        </w:rPr>
        <w:t>外購者</w:t>
      </w:r>
      <w:r>
        <w:rPr>
          <w:rFonts w:eastAsia="標楷體" w:hint="eastAsia"/>
          <w:sz w:val="28"/>
          <w:szCs w:val="28"/>
          <w:rtl w:val="0"/>
          <w:lang w:val="zh-TW" w:eastAsia="zh-TW"/>
        </w:rPr>
        <w:t>：</w:t>
      </w:r>
      <w:r>
        <w:rPr>
          <w:rFonts w:eastAsia="標楷體" w:hint="eastAsia"/>
          <w:sz w:val="28"/>
          <w:szCs w:val="28"/>
          <w:rtl w:val="0"/>
          <w:lang w:val="zh-TW" w:eastAsia="zh-TW"/>
        </w:rPr>
        <w:t xml:space="preserve">須檢附合作工廠之採購單據、收貨證明，及該供貨廠之 </w:t>
      </w:r>
      <w:r>
        <w:rPr>
          <w:rFonts w:ascii="標楷體" w:hAnsi="標楷體"/>
          <w:sz w:val="28"/>
          <w:szCs w:val="28"/>
          <w:rtl w:val="0"/>
          <w:lang w:val="en-US"/>
        </w:rPr>
        <w:t xml:space="preserve">HACCP </w:t>
      </w:r>
      <w:r>
        <w:rPr>
          <w:rFonts w:eastAsia="標楷體" w:hint="eastAsia"/>
          <w:sz w:val="28"/>
          <w:szCs w:val="28"/>
          <w:rtl w:val="0"/>
          <w:lang w:val="zh-TW" w:eastAsia="zh-TW"/>
        </w:rPr>
        <w:t>驗證證書與國產乳源收購證明（如契作合約或農業部收乳紀錄影本）</w:t>
      </w:r>
    </w:p>
    <w:p>
      <w:pPr>
        <w:pStyle w:val="Normal.0"/>
        <w:spacing w:before="120" w:line="480" w:lineRule="exact"/>
        <w:ind w:left="495" w:firstLine="0"/>
        <w:rPr>
          <w:rFonts w:ascii="標楷體" w:cs="標楷體" w:hAnsi="標楷體" w:eastAsia="標楷體"/>
          <w:sz w:val="28"/>
          <w:szCs w:val="28"/>
        </w:rPr>
      </w:pPr>
      <w:r>
        <w:rPr>
          <w:rFonts w:ascii="標楷體" w:hAnsi="標楷體"/>
          <w:sz w:val="32"/>
          <w:szCs w:val="32"/>
          <w:rtl w:val="0"/>
          <w:lang w:val="en-US"/>
        </w:rPr>
        <w:t>2.</w:t>
      </w:r>
      <w:r>
        <w:rPr>
          <w:rFonts w:eastAsia="標楷體" w:hint="eastAsia"/>
          <w:sz w:val="32"/>
          <w:szCs w:val="32"/>
          <w:rtl w:val="0"/>
          <w:lang w:val="zh-TW" w:eastAsia="zh-TW"/>
        </w:rPr>
        <w:t>使用比例門檻</w:t>
      </w:r>
      <w:r>
        <w:rPr>
          <w:rFonts w:eastAsia="標楷體" w:hint="eastAsia"/>
          <w:sz w:val="32"/>
          <w:szCs w:val="32"/>
          <w:rtl w:val="0"/>
          <w:lang w:val="zh-TW" w:eastAsia="zh-TW"/>
        </w:rPr>
        <w:t>：</w:t>
      </w:r>
      <w:r>
        <w:rPr>
          <w:rFonts w:eastAsia="標楷體" w:hint="eastAsia"/>
          <w:sz w:val="28"/>
          <w:szCs w:val="28"/>
          <w:rtl w:val="0"/>
          <w:lang w:val="zh-TW" w:eastAsia="zh-TW"/>
        </w:rPr>
        <w:t>參賽產品之乳清或白脫乳含量，需占產品總配方重量比</w:t>
      </w:r>
      <w:r>
        <w:rPr>
          <w:rFonts w:ascii="標楷體" w:hAnsi="標楷體"/>
          <w:sz w:val="28"/>
          <w:szCs w:val="28"/>
          <w:rtl w:val="0"/>
          <w:lang w:val="en-US"/>
        </w:rPr>
        <w:t xml:space="preserve">  </w:t>
      </w:r>
      <w:r>
        <w:rPr>
          <w:rFonts w:eastAsia="標楷體" w:hint="eastAsia"/>
          <w:sz w:val="28"/>
          <w:szCs w:val="28"/>
          <w:rtl w:val="0"/>
          <w:lang w:val="zh-TW" w:eastAsia="zh-TW"/>
        </w:rPr>
        <w:t>（</w:t>
      </w:r>
      <w:r>
        <w:rPr>
          <w:rFonts w:ascii="標楷體" w:hAnsi="標楷體"/>
          <w:sz w:val="28"/>
          <w:szCs w:val="28"/>
          <w:rtl w:val="0"/>
          <w:lang w:val="en-US"/>
        </w:rPr>
        <w:t>w/w</w:t>
      </w:r>
      <w:r>
        <w:rPr>
          <w:rFonts w:eastAsia="標楷體" w:hint="eastAsia"/>
          <w:sz w:val="28"/>
          <w:szCs w:val="28"/>
          <w:rtl w:val="0"/>
          <w:lang w:val="zh-TW" w:eastAsia="zh-TW"/>
        </w:rPr>
        <w:t>）</w:t>
      </w:r>
      <w:r>
        <w:rPr>
          <w:rFonts w:eastAsia="標楷體" w:hint="eastAsia"/>
          <w:sz w:val="28"/>
          <w:szCs w:val="28"/>
          <w:rtl w:val="0"/>
          <w:lang w:val="zh-TW" w:eastAsia="zh-TW"/>
        </w:rPr>
        <w:t xml:space="preserve">至少 </w:t>
      </w:r>
      <w:r>
        <w:rPr>
          <w:rFonts w:ascii="標楷體" w:hAnsi="標楷體"/>
          <w:sz w:val="28"/>
          <w:szCs w:val="28"/>
          <w:rtl w:val="0"/>
          <w:lang w:val="en-US"/>
        </w:rPr>
        <w:t xml:space="preserve">25% </w:t>
      </w:r>
      <w:r>
        <w:rPr>
          <w:rFonts w:eastAsia="標楷體" w:hint="eastAsia"/>
          <w:sz w:val="28"/>
          <w:szCs w:val="28"/>
          <w:rtl w:val="0"/>
          <w:lang w:val="zh-TW" w:eastAsia="zh-TW"/>
        </w:rPr>
        <w:t>以上</w:t>
      </w:r>
      <w:r>
        <w:rPr>
          <w:rFonts w:eastAsia="標楷體" w:hint="eastAsia"/>
          <w:sz w:val="28"/>
          <w:szCs w:val="28"/>
          <w:rtl w:val="0"/>
          <w:lang w:val="zh-TW" w:eastAsia="zh-TW"/>
        </w:rPr>
        <w:t>。</w:t>
      </w:r>
    </w:p>
    <w:p>
      <w:pPr>
        <w:pStyle w:val="Normal.0"/>
        <w:spacing w:before="100"/>
        <w:rPr>
          <w:rFonts w:ascii="標楷體" w:cs="標楷體" w:hAnsi="標楷體" w:eastAsia="標楷體"/>
          <w:sz w:val="36"/>
          <w:szCs w:val="36"/>
          <w:lang w:val="zh-TW" w:eastAsia="zh-TW"/>
        </w:rPr>
      </w:pPr>
      <w:r>
        <w:rPr>
          <w:rFonts w:eastAsia="標楷體" w:hint="eastAsia"/>
          <w:sz w:val="36"/>
          <w:szCs w:val="36"/>
          <w:rtl w:val="0"/>
          <w:lang w:val="zh-TW" w:eastAsia="zh-TW"/>
        </w:rPr>
        <w:t>六、遴選機制與評審團</w:t>
      </w:r>
    </w:p>
    <w:p>
      <w:pPr>
        <w:pStyle w:val="Normal.0"/>
        <w:spacing w:line="288" w:lineRule="auto"/>
        <w:rPr>
          <w:rFonts w:ascii="標楷體" w:cs="標楷體" w:hAnsi="標楷體" w:eastAsia="標楷體"/>
          <w:sz w:val="28"/>
          <w:szCs w:val="28"/>
        </w:rPr>
      </w:pPr>
      <w:r>
        <w:rPr>
          <w:rFonts w:eastAsia="標楷體" w:hint="eastAsia"/>
          <w:sz w:val="28"/>
          <w:szCs w:val="28"/>
          <w:rtl w:val="0"/>
          <w:lang w:val="zh-TW" w:eastAsia="zh-TW"/>
        </w:rPr>
        <w:t>本計畫採兩階段審查，由</w:t>
      </w:r>
      <w:r>
        <w:rPr>
          <w:rFonts w:ascii="標楷體" w:hAnsi="標楷體"/>
          <w:sz w:val="28"/>
          <w:szCs w:val="28"/>
          <w:rtl w:val="0"/>
          <w:lang w:val="en-US"/>
        </w:rPr>
        <w:t>5</w:t>
      </w:r>
      <w:r>
        <w:rPr>
          <w:rFonts w:eastAsia="標楷體" w:hint="eastAsia"/>
          <w:sz w:val="28"/>
          <w:szCs w:val="28"/>
          <w:rtl w:val="0"/>
          <w:lang w:val="zh-TW" w:eastAsia="zh-TW"/>
        </w:rPr>
        <w:t>人組成專業評審委員會。為兼顧評分的一致性與組別專業度，評審團採「</w:t>
      </w:r>
      <w:r>
        <w:rPr>
          <w:rFonts w:ascii="標楷體" w:hAnsi="標楷體"/>
          <w:sz w:val="28"/>
          <w:szCs w:val="28"/>
          <w:rtl w:val="0"/>
          <w:lang w:val="en-US"/>
        </w:rPr>
        <w:t xml:space="preserve">4 </w:t>
      </w:r>
      <w:r>
        <w:rPr>
          <w:rFonts w:eastAsia="標楷體" w:hint="eastAsia"/>
          <w:sz w:val="28"/>
          <w:szCs w:val="28"/>
          <w:rtl w:val="0"/>
          <w:lang w:val="zh-TW" w:eastAsia="zh-TW"/>
        </w:rPr>
        <w:t xml:space="preserve">名常駐評審 </w:t>
      </w:r>
      <w:r>
        <w:rPr>
          <w:rFonts w:ascii="標楷體" w:hAnsi="標楷體"/>
          <w:sz w:val="28"/>
          <w:szCs w:val="28"/>
          <w:rtl w:val="0"/>
          <w:lang w:val="en-US"/>
        </w:rPr>
        <w:t>+ 1</w:t>
      </w:r>
      <w:r>
        <w:rPr>
          <w:rFonts w:eastAsia="標楷體" w:hint="eastAsia"/>
          <w:sz w:val="28"/>
          <w:szCs w:val="28"/>
          <w:rtl w:val="0"/>
          <w:lang w:val="zh-TW" w:eastAsia="zh-TW"/>
        </w:rPr>
        <w:t>名組別特聘評審」之彈性編制，進行綜合評定：</w:t>
      </w:r>
    </w:p>
    <w:p>
      <w:pPr>
        <w:pStyle w:val="Normal.0"/>
        <w:spacing w:before="120" w:line="480" w:lineRule="exact"/>
        <w:rPr>
          <w:rFonts w:ascii="標楷體" w:cs="標楷體" w:hAnsi="標楷體" w:eastAsia="標楷體"/>
          <w:sz w:val="32"/>
          <w:szCs w:val="32"/>
        </w:rPr>
      </w:pPr>
      <w:r>
        <w:rPr>
          <w:rFonts w:ascii="標楷體" w:hAnsi="標楷體"/>
          <w:sz w:val="32"/>
          <w:szCs w:val="32"/>
          <w:rtl w:val="0"/>
          <w:lang w:val="en-US"/>
        </w:rPr>
        <w:t>1.</w:t>
      </w:r>
      <w:r>
        <w:rPr>
          <w:rFonts w:eastAsia="標楷體" w:hint="eastAsia"/>
          <w:sz w:val="32"/>
          <w:szCs w:val="32"/>
          <w:rtl w:val="0"/>
          <w:lang w:val="zh-TW" w:eastAsia="zh-TW"/>
        </w:rPr>
        <w:t>常駐評審（共</w:t>
      </w:r>
      <w:r>
        <w:rPr>
          <w:rFonts w:ascii="標楷體" w:hAnsi="標楷體"/>
          <w:sz w:val="32"/>
          <w:szCs w:val="32"/>
          <w:rtl w:val="0"/>
          <w:lang w:val="en-US"/>
        </w:rPr>
        <w:t>4</w:t>
      </w:r>
      <w:r>
        <w:rPr>
          <w:rFonts w:eastAsia="標楷體" w:hint="eastAsia"/>
          <w:sz w:val="32"/>
          <w:szCs w:val="32"/>
          <w:rtl w:val="0"/>
          <w:lang w:val="zh-TW" w:eastAsia="zh-TW"/>
        </w:rPr>
        <w:t>名，負責審核所有組別）：</w:t>
      </w:r>
    </w:p>
    <w:p>
      <w:pPr>
        <w:pStyle w:val="List Paragraph"/>
        <w:numPr>
          <w:ilvl w:val="0"/>
          <w:numId w:val="6"/>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食品科學專家</w:t>
      </w:r>
      <w:r>
        <w:rPr>
          <w:rFonts w:ascii="標楷體" w:hAnsi="標楷體"/>
          <w:sz w:val="28"/>
          <w:szCs w:val="28"/>
          <w:rtl w:val="0"/>
          <w:lang w:val="en-US"/>
        </w:rPr>
        <w:t>1</w:t>
      </w:r>
      <w:r>
        <w:rPr>
          <w:rFonts w:eastAsia="標楷體" w:hint="eastAsia"/>
          <w:sz w:val="28"/>
          <w:szCs w:val="28"/>
          <w:rtl w:val="0"/>
          <w:lang w:val="zh-TW" w:eastAsia="zh-TW"/>
        </w:rPr>
        <w:t>名</w:t>
      </w:r>
      <w:r>
        <w:rPr>
          <w:rFonts w:eastAsia="標楷體" w:hint="eastAsia"/>
          <w:sz w:val="28"/>
          <w:szCs w:val="28"/>
          <w:rtl w:val="0"/>
          <w:lang w:val="zh-TW" w:eastAsia="zh-TW"/>
        </w:rPr>
        <w:t>：負責兩組的加工製程、穩定性與食品安全審核。</w:t>
      </w:r>
    </w:p>
    <w:p>
      <w:pPr>
        <w:pStyle w:val="List Paragraph"/>
        <w:numPr>
          <w:ilvl w:val="0"/>
          <w:numId w:val="6"/>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動物科學</w:t>
      </w:r>
      <w:r>
        <w:rPr>
          <w:rFonts w:ascii="標楷體" w:hAnsi="標楷體"/>
          <w:sz w:val="28"/>
          <w:szCs w:val="28"/>
          <w:rtl w:val="0"/>
          <w:lang w:val="en-US"/>
        </w:rPr>
        <w:t>/</w:t>
      </w:r>
      <w:r>
        <w:rPr>
          <w:rFonts w:eastAsia="標楷體" w:hint="eastAsia"/>
          <w:sz w:val="28"/>
          <w:szCs w:val="28"/>
          <w:rtl w:val="0"/>
          <w:lang w:val="zh-TW" w:eastAsia="zh-TW"/>
        </w:rPr>
        <w:t>乳品學者</w:t>
      </w:r>
      <w:r>
        <w:rPr>
          <w:rFonts w:ascii="標楷體" w:hAnsi="標楷體"/>
          <w:sz w:val="28"/>
          <w:szCs w:val="28"/>
          <w:rtl w:val="0"/>
          <w:lang w:val="en-US"/>
        </w:rPr>
        <w:t>1</w:t>
      </w:r>
      <w:r>
        <w:rPr>
          <w:rFonts w:eastAsia="標楷體" w:hint="eastAsia"/>
          <w:sz w:val="28"/>
          <w:szCs w:val="28"/>
          <w:rtl w:val="0"/>
          <w:lang w:val="zh-TW" w:eastAsia="zh-TW"/>
        </w:rPr>
        <w:t>名</w:t>
      </w:r>
      <w:r>
        <w:rPr>
          <w:rFonts w:eastAsia="標楷體" w:hint="eastAsia"/>
          <w:sz w:val="28"/>
          <w:szCs w:val="28"/>
          <w:rtl w:val="0"/>
          <w:lang w:val="zh-TW" w:eastAsia="zh-TW"/>
        </w:rPr>
        <w:t>：負責兩組的國產原料來源查核、活性成分及標準審核。</w:t>
      </w:r>
    </w:p>
    <w:p>
      <w:pPr>
        <w:pStyle w:val="List Paragraph"/>
        <w:numPr>
          <w:ilvl w:val="0"/>
          <w:numId w:val="6"/>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 xml:space="preserve">乳品產業代表 </w:t>
      </w:r>
      <w:r>
        <w:rPr>
          <w:rFonts w:ascii="標楷體" w:hAnsi="標楷體"/>
          <w:sz w:val="28"/>
          <w:szCs w:val="28"/>
          <w:rtl w:val="0"/>
          <w:lang w:val="en-US"/>
        </w:rPr>
        <w:t xml:space="preserve">1 </w:t>
      </w:r>
      <w:r>
        <w:rPr>
          <w:rFonts w:eastAsia="標楷體" w:hint="eastAsia"/>
          <w:sz w:val="28"/>
          <w:szCs w:val="28"/>
          <w:rtl w:val="0"/>
          <w:lang w:val="zh-TW" w:eastAsia="zh-TW"/>
        </w:rPr>
        <w:t>名</w:t>
      </w:r>
      <w:r>
        <w:rPr>
          <w:rFonts w:eastAsia="標楷體" w:hint="eastAsia"/>
          <w:sz w:val="28"/>
          <w:szCs w:val="28"/>
          <w:rtl w:val="0"/>
          <w:lang w:val="zh-TW" w:eastAsia="zh-TW"/>
        </w:rPr>
        <w:t>：負責兩組的供應鏈鏈結、產業價值與循環經濟貢獻評核。</w:t>
      </w:r>
    </w:p>
    <w:p>
      <w:pPr>
        <w:pStyle w:val="List Paragraph"/>
        <w:numPr>
          <w:ilvl w:val="0"/>
          <w:numId w:val="6"/>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市場行銷</w:t>
      </w:r>
      <w:r>
        <w:rPr>
          <w:rFonts w:ascii="標楷體" w:hAnsi="標楷體"/>
          <w:sz w:val="28"/>
          <w:szCs w:val="28"/>
          <w:rtl w:val="0"/>
          <w:lang w:val="en-US"/>
        </w:rPr>
        <w:t>/</w:t>
      </w:r>
      <w:r>
        <w:rPr>
          <w:rFonts w:eastAsia="標楷體" w:hint="eastAsia"/>
          <w:sz w:val="28"/>
          <w:szCs w:val="28"/>
          <w:rtl w:val="0"/>
          <w:lang w:val="zh-TW" w:eastAsia="zh-TW"/>
        </w:rPr>
        <w:t xml:space="preserve">創業導師 </w:t>
      </w:r>
      <w:r>
        <w:rPr>
          <w:rFonts w:ascii="標楷體" w:hAnsi="標楷體"/>
          <w:sz w:val="28"/>
          <w:szCs w:val="28"/>
          <w:rtl w:val="0"/>
          <w:lang w:val="en-US"/>
        </w:rPr>
        <w:t xml:space="preserve">1 </w:t>
      </w:r>
      <w:r>
        <w:rPr>
          <w:rFonts w:eastAsia="標楷體" w:hint="eastAsia"/>
          <w:sz w:val="28"/>
          <w:szCs w:val="28"/>
          <w:rtl w:val="0"/>
          <w:lang w:val="zh-TW" w:eastAsia="zh-TW"/>
        </w:rPr>
        <w:t>名</w:t>
      </w:r>
      <w:r>
        <w:rPr>
          <w:rFonts w:eastAsia="標楷體" w:hint="eastAsia"/>
          <w:sz w:val="28"/>
          <w:szCs w:val="28"/>
          <w:rtl w:val="0"/>
          <w:lang w:val="zh-TW" w:eastAsia="zh-TW"/>
        </w:rPr>
        <w:t>：負責兩組的營運計畫可行性、成本預估與市場通路潛力評核。</w:t>
      </w:r>
    </w:p>
    <w:p>
      <w:pPr>
        <w:pStyle w:val="Normal.0"/>
        <w:spacing w:line="480" w:lineRule="exact"/>
        <w:rPr>
          <w:rFonts w:ascii="標楷體" w:cs="標楷體" w:hAnsi="標楷體" w:eastAsia="標楷體"/>
          <w:sz w:val="32"/>
          <w:szCs w:val="32"/>
        </w:rPr>
      </w:pPr>
      <w:r>
        <w:rPr>
          <w:rFonts w:ascii="標楷體" w:hAnsi="標楷體"/>
          <w:sz w:val="32"/>
          <w:szCs w:val="32"/>
          <w:rtl w:val="0"/>
          <w:lang w:val="en-US"/>
        </w:rPr>
        <w:t>2.</w:t>
      </w:r>
      <w:r>
        <w:rPr>
          <w:rFonts w:eastAsia="標楷體" w:hint="eastAsia"/>
          <w:sz w:val="32"/>
          <w:szCs w:val="32"/>
          <w:rtl w:val="0"/>
          <w:lang w:val="zh-TW" w:eastAsia="zh-TW"/>
        </w:rPr>
        <w:t xml:space="preserve">組別特聘評審（每場審查依組別特聘 </w:t>
      </w:r>
      <w:r>
        <w:rPr>
          <w:rFonts w:ascii="標楷體" w:hAnsi="標楷體"/>
          <w:sz w:val="32"/>
          <w:szCs w:val="32"/>
          <w:rtl w:val="0"/>
          <w:lang w:val="en-US"/>
        </w:rPr>
        <w:t xml:space="preserve">1 </w:t>
      </w:r>
      <w:r>
        <w:rPr>
          <w:rFonts w:eastAsia="標楷體" w:hint="eastAsia"/>
          <w:sz w:val="32"/>
          <w:szCs w:val="32"/>
          <w:rtl w:val="0"/>
          <w:lang w:val="zh-TW" w:eastAsia="zh-TW"/>
        </w:rPr>
        <w:t>名）：</w:t>
      </w:r>
    </w:p>
    <w:p>
      <w:pPr>
        <w:pStyle w:val="List Paragraph"/>
        <w:numPr>
          <w:ilvl w:val="0"/>
          <w:numId w:val="6"/>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【食品組】餐飲代表</w:t>
      </w:r>
      <w:r>
        <w:rPr>
          <w:rFonts w:ascii="標楷體" w:hAnsi="標楷體"/>
          <w:sz w:val="28"/>
          <w:szCs w:val="28"/>
          <w:rtl w:val="0"/>
          <w:lang w:val="en-US"/>
        </w:rPr>
        <w:t>/</w:t>
      </w:r>
      <w:r>
        <w:rPr>
          <w:rFonts w:eastAsia="標楷體" w:hint="eastAsia"/>
          <w:sz w:val="28"/>
          <w:szCs w:val="28"/>
          <w:rtl w:val="0"/>
          <w:lang w:val="zh-TW" w:eastAsia="zh-TW"/>
        </w:rPr>
        <w:t>主廚：</w:t>
      </w:r>
      <w:r>
        <w:rPr>
          <w:rFonts w:eastAsia="標楷體" w:hint="eastAsia"/>
          <w:sz w:val="28"/>
          <w:szCs w:val="28"/>
          <w:rtl w:val="0"/>
          <w:lang w:val="zh-TW" w:eastAsia="zh-TW"/>
        </w:rPr>
        <w:t>負責產品風味、質地與餐飲市場應用品評</w:t>
      </w:r>
    </w:p>
    <w:p>
      <w:pPr>
        <w:pStyle w:val="List Paragraph"/>
        <w:numPr>
          <w:ilvl w:val="0"/>
          <w:numId w:val="6"/>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【非食品組】生技資材專家：</w:t>
      </w:r>
      <w:r>
        <w:rPr>
          <w:rFonts w:eastAsia="標楷體" w:hint="eastAsia"/>
          <w:sz w:val="28"/>
          <w:szCs w:val="28"/>
          <w:rtl w:val="0"/>
          <w:lang w:val="zh-TW" w:eastAsia="zh-TW"/>
        </w:rPr>
        <w:t>負責生技轉化、安全性數據與材料科學應用之審核。</w:t>
      </w:r>
    </w:p>
    <w:p>
      <w:pPr>
        <w:pStyle w:val="Normal.0"/>
        <w:spacing w:before="120" w:line="480" w:lineRule="exact"/>
        <w:rPr>
          <w:rFonts w:ascii="標楷體" w:cs="標楷體" w:hAnsi="標楷體" w:eastAsia="標楷體"/>
          <w:sz w:val="32"/>
          <w:szCs w:val="32"/>
        </w:rPr>
      </w:pPr>
      <w:r>
        <w:rPr>
          <w:rFonts w:ascii="標楷體" w:hAnsi="標楷體"/>
          <w:sz w:val="32"/>
          <w:szCs w:val="32"/>
          <w:rtl w:val="0"/>
          <w:lang w:val="en-US"/>
        </w:rPr>
        <w:t>3.</w:t>
      </w:r>
      <w:r>
        <w:rPr>
          <w:rFonts w:eastAsia="標楷體" w:hint="eastAsia"/>
          <w:sz w:val="32"/>
          <w:szCs w:val="32"/>
          <w:rtl w:val="0"/>
          <w:lang w:val="zh-TW" w:eastAsia="zh-TW"/>
        </w:rPr>
        <w:t>評選審查流程</w:t>
      </w:r>
    </w:p>
    <w:p>
      <w:pPr>
        <w:pStyle w:val="Normal.0"/>
        <w:spacing w:line="480" w:lineRule="exact"/>
        <w:ind w:firstLine="566"/>
        <w:rPr>
          <w:rFonts w:ascii="標楷體" w:cs="標楷體" w:hAnsi="標楷體" w:eastAsia="標楷體"/>
          <w:sz w:val="28"/>
          <w:szCs w:val="28"/>
          <w:lang w:val="zh-TW" w:eastAsia="zh-TW"/>
        </w:rPr>
      </w:pPr>
      <w:r>
        <w:rPr>
          <w:rFonts w:eastAsia="標楷體" w:hint="eastAsia"/>
          <w:sz w:val="28"/>
          <w:szCs w:val="28"/>
          <w:rtl w:val="0"/>
          <w:lang w:val="zh-TW" w:eastAsia="zh-TW"/>
        </w:rPr>
        <w:t>第一階段</w:t>
      </w:r>
      <w:r>
        <w:rPr>
          <w:rFonts w:eastAsia="標楷體" w:hint="eastAsia"/>
          <w:sz w:val="28"/>
          <w:szCs w:val="28"/>
          <w:rtl w:val="0"/>
          <w:lang w:val="zh-TW" w:eastAsia="zh-TW"/>
        </w:rPr>
        <w:t>｜資格與書面審查</w:t>
      </w:r>
    </w:p>
    <w:p>
      <w:pPr>
        <w:pStyle w:val="List Paragraph"/>
        <w:numPr>
          <w:ilvl w:val="0"/>
          <w:numId w:val="8"/>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文件完整性確認</w:t>
      </w:r>
    </w:p>
    <w:p>
      <w:pPr>
        <w:pStyle w:val="List Paragraph"/>
        <w:numPr>
          <w:ilvl w:val="0"/>
          <w:numId w:val="8"/>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副產物比例檢核</w:t>
      </w:r>
    </w:p>
    <w:p>
      <w:pPr>
        <w:pStyle w:val="List Paragraph"/>
        <w:numPr>
          <w:ilvl w:val="0"/>
          <w:numId w:val="8"/>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初步創新與市場性評估「產品開發計畫書（營運計畫書概念）」</w:t>
      </w:r>
    </w:p>
    <w:p>
      <w:pPr>
        <w:pStyle w:val="Normal.0"/>
        <w:spacing w:line="480" w:lineRule="exact"/>
        <w:ind w:firstLine="566"/>
        <w:rPr>
          <w:rFonts w:ascii="標楷體" w:cs="標楷體" w:hAnsi="標楷體" w:eastAsia="標楷體"/>
          <w:sz w:val="28"/>
          <w:szCs w:val="28"/>
          <w:lang w:val="zh-TW" w:eastAsia="zh-TW"/>
        </w:rPr>
      </w:pPr>
      <w:r>
        <w:rPr>
          <w:rFonts w:eastAsia="標楷體" w:hint="eastAsia"/>
          <w:sz w:val="28"/>
          <w:szCs w:val="28"/>
          <w:rtl w:val="0"/>
          <w:lang w:val="zh-TW" w:eastAsia="zh-TW"/>
        </w:rPr>
        <w:t>第二階段</w:t>
      </w:r>
      <w:r>
        <w:rPr>
          <w:rFonts w:eastAsia="標楷體" w:hint="eastAsia"/>
          <w:sz w:val="28"/>
          <w:szCs w:val="28"/>
          <w:rtl w:val="0"/>
          <w:lang w:val="zh-TW" w:eastAsia="zh-TW"/>
        </w:rPr>
        <w:t>｜複審與現場品評</w:t>
      </w:r>
    </w:p>
    <w:p>
      <w:pPr>
        <w:pStyle w:val="Normal.0"/>
        <w:spacing w:line="480" w:lineRule="exact"/>
        <w:ind w:firstLine="566"/>
        <w:rPr>
          <w:rFonts w:ascii="標楷體" w:cs="標楷體" w:hAnsi="標楷體" w:eastAsia="標楷體"/>
          <w:sz w:val="28"/>
          <w:szCs w:val="28"/>
          <w:lang w:val="zh-TW" w:eastAsia="zh-TW"/>
        </w:rPr>
      </w:pPr>
      <w:r>
        <w:rPr>
          <w:rFonts w:eastAsia="標楷體" w:hint="eastAsia"/>
          <w:sz w:val="28"/>
          <w:szCs w:val="28"/>
          <w:rtl w:val="0"/>
          <w:lang w:val="zh-TW" w:eastAsia="zh-TW"/>
        </w:rPr>
        <w:t>入圍廠商須：</w:t>
      </w:r>
    </w:p>
    <w:p>
      <w:pPr>
        <w:pStyle w:val="List Paragraph"/>
        <w:numPr>
          <w:ilvl w:val="0"/>
          <w:numId w:val="10"/>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 xml:space="preserve">進行 </w:t>
      </w:r>
      <w:r>
        <w:rPr>
          <w:rFonts w:ascii="標楷體" w:hAnsi="標楷體"/>
          <w:sz w:val="28"/>
          <w:szCs w:val="28"/>
          <w:rtl w:val="0"/>
          <w:lang w:val="en-US"/>
        </w:rPr>
        <w:t xml:space="preserve">10 </w:t>
      </w:r>
      <w:r>
        <w:rPr>
          <w:rFonts w:eastAsia="標楷體" w:hint="eastAsia"/>
          <w:sz w:val="28"/>
          <w:szCs w:val="28"/>
          <w:rtl w:val="0"/>
          <w:lang w:val="zh-TW" w:eastAsia="zh-TW"/>
        </w:rPr>
        <w:t>分鐘產品簡報</w:t>
      </w:r>
    </w:p>
    <w:p>
      <w:pPr>
        <w:pStyle w:val="List Paragraph"/>
        <w:numPr>
          <w:ilvl w:val="0"/>
          <w:numId w:val="10"/>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提供現場品評樣品</w:t>
      </w:r>
      <w:r>
        <w:rPr>
          <w:rFonts w:ascii="標楷體" w:hAnsi="標楷體"/>
          <w:sz w:val="28"/>
          <w:szCs w:val="28"/>
          <w:rtl w:val="0"/>
          <w:lang w:val="en-US"/>
        </w:rPr>
        <w:t>/</w:t>
      </w:r>
      <w:r>
        <w:rPr>
          <w:rFonts w:eastAsia="標楷體" w:hint="eastAsia"/>
          <w:sz w:val="28"/>
          <w:szCs w:val="28"/>
          <w:rtl w:val="0"/>
          <w:lang w:val="zh-TW" w:eastAsia="zh-TW"/>
        </w:rPr>
        <w:t>紀錄</w:t>
      </w:r>
      <w:r>
        <w:rPr>
          <w:rFonts w:ascii="標楷體" w:hAnsi="標楷體"/>
          <w:sz w:val="28"/>
          <w:szCs w:val="28"/>
          <w:rtl w:val="0"/>
          <w:lang w:val="en-US"/>
        </w:rPr>
        <w:t>/</w:t>
      </w:r>
      <w:r>
        <w:rPr>
          <w:rFonts w:eastAsia="標楷體" w:hint="eastAsia"/>
          <w:sz w:val="28"/>
          <w:szCs w:val="28"/>
          <w:rtl w:val="0"/>
          <w:lang w:val="zh-TW" w:eastAsia="zh-TW"/>
        </w:rPr>
        <w:t>數據</w:t>
      </w:r>
    </w:p>
    <w:p>
      <w:pPr>
        <w:pStyle w:val="List Paragraph"/>
        <w:spacing w:line="480" w:lineRule="exact"/>
        <w:ind w:left="1046" w:firstLine="0"/>
        <w:rPr>
          <w:rFonts w:ascii="標楷體" w:cs="標楷體" w:hAnsi="標楷體" w:eastAsia="標楷體"/>
          <w:sz w:val="28"/>
          <w:szCs w:val="28"/>
          <w:lang w:val="zh-TW" w:eastAsia="zh-TW"/>
        </w:rPr>
      </w:pPr>
      <w:r>
        <w:rPr>
          <w:rFonts w:eastAsia="標楷體" w:hint="eastAsia"/>
          <w:sz w:val="28"/>
          <w:szCs w:val="28"/>
          <w:rtl w:val="0"/>
          <w:lang w:val="zh-TW" w:eastAsia="zh-TW"/>
        </w:rPr>
        <w:t>食品組：</w:t>
      </w:r>
      <w:r>
        <w:rPr>
          <w:rFonts w:eastAsia="標楷體" w:hint="eastAsia"/>
          <w:sz w:val="28"/>
          <w:szCs w:val="28"/>
          <w:rtl w:val="0"/>
          <w:lang w:val="zh-TW" w:eastAsia="zh-TW"/>
        </w:rPr>
        <w:t>感官品評紀錄、預估保存期限說明。</w:t>
      </w:r>
    </w:p>
    <w:p>
      <w:pPr>
        <w:pStyle w:val="List Paragraph"/>
        <w:spacing w:line="480" w:lineRule="exact"/>
        <w:ind w:left="1046" w:firstLine="0"/>
        <w:rPr>
          <w:rFonts w:ascii="標楷體" w:cs="標楷體" w:hAnsi="標楷體" w:eastAsia="標楷體"/>
          <w:sz w:val="28"/>
          <w:szCs w:val="28"/>
        </w:rPr>
      </w:pPr>
      <w:r>
        <w:rPr>
          <w:rFonts w:eastAsia="標楷體" w:hint="eastAsia"/>
          <w:sz w:val="28"/>
          <w:szCs w:val="28"/>
          <w:rtl w:val="0"/>
          <w:lang w:val="zh-TW" w:eastAsia="zh-TW"/>
        </w:rPr>
        <w:t>非食品組：【</w:t>
      </w:r>
      <w:r>
        <w:rPr>
          <w:rFonts w:eastAsia="標楷體" w:hint="eastAsia"/>
          <w:sz w:val="28"/>
          <w:szCs w:val="28"/>
          <w:rtl w:val="0"/>
          <w:lang w:val="zh-TW" w:eastAsia="zh-TW"/>
        </w:rPr>
        <w:t>美容保養品</w:t>
      </w:r>
      <w:r>
        <w:rPr>
          <w:rFonts w:eastAsia="標楷體" w:hint="eastAsia"/>
          <w:sz w:val="28"/>
          <w:szCs w:val="28"/>
          <w:rtl w:val="0"/>
          <w:lang w:val="zh-TW" w:eastAsia="zh-TW"/>
        </w:rPr>
        <w:t>】</w:t>
      </w:r>
      <w:r>
        <w:rPr>
          <w:rFonts w:eastAsia="標楷體" w:hint="eastAsia"/>
          <w:sz w:val="28"/>
          <w:szCs w:val="28"/>
          <w:rtl w:val="0"/>
          <w:lang w:val="zh-TW" w:eastAsia="zh-TW"/>
        </w:rPr>
        <w:t>須檢附安全性檢測數據</w:t>
      </w:r>
      <w:r>
        <w:rPr>
          <w:rFonts w:ascii="標楷體" w:hAnsi="標楷體"/>
          <w:sz w:val="28"/>
          <w:szCs w:val="28"/>
          <w:rtl w:val="0"/>
          <w:lang w:val="en-US"/>
        </w:rPr>
        <w:t>(</w:t>
      </w:r>
      <w:r>
        <w:rPr>
          <w:rFonts w:eastAsia="標楷體" w:hint="eastAsia"/>
          <w:sz w:val="28"/>
          <w:szCs w:val="28"/>
          <w:rtl w:val="0"/>
          <w:lang w:val="zh-TW" w:eastAsia="zh-TW"/>
        </w:rPr>
        <w:t>如生菌數、重金屬等</w:t>
      </w:r>
      <w:r>
        <w:rPr>
          <w:rFonts w:ascii="標楷體" w:hAnsi="標楷體"/>
          <w:sz w:val="28"/>
          <w:szCs w:val="28"/>
          <w:rtl w:val="0"/>
          <w:lang w:val="en-US"/>
        </w:rPr>
        <w:t>)</w:t>
      </w:r>
      <w:r>
        <w:rPr>
          <w:rFonts w:ascii="Arial" w:hAnsi="Arial"/>
          <w:rtl w:val="0"/>
          <w:lang w:val="en-US"/>
        </w:rPr>
        <w:t xml:space="preserve"> </w:t>
      </w:r>
      <w:r>
        <w:rPr>
          <w:rFonts w:ascii="Arial Unicode MS" w:cs="Arial Unicode MS" w:hAnsi="Arial Unicode MS" w:eastAsia="Arial Unicode MS" w:hint="eastAsia"/>
          <w:b w:val="0"/>
          <w:bCs w:val="0"/>
          <w:i w:val="0"/>
          <w:iCs w:val="0"/>
          <w:rtl w:val="0"/>
          <w:lang w:val="zh-TW" w:eastAsia="zh-TW"/>
        </w:rPr>
        <w:t>、</w:t>
      </w:r>
      <w:r>
        <w:rPr>
          <w:rFonts w:eastAsia="標楷體" w:hint="eastAsia"/>
          <w:sz w:val="28"/>
          <w:szCs w:val="28"/>
          <w:rtl w:val="0"/>
          <w:lang w:val="zh-TW" w:eastAsia="zh-TW"/>
        </w:rPr>
        <w:t>功能性測試數據；【寵物食品】須提供適口性或營養成分分析初步數據。</w:t>
      </w:r>
    </w:p>
    <w:p>
      <w:pPr>
        <w:pStyle w:val="List Paragraph"/>
        <w:numPr>
          <w:ilvl w:val="0"/>
          <w:numId w:val="10"/>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接受專家詢答</w:t>
      </w:r>
    </w:p>
    <w:p>
      <w:pPr>
        <w:pStyle w:val="heading 2"/>
        <w:keepNext w:val="0"/>
        <w:keepLines w:val="0"/>
        <w:spacing w:before="120" w:after="0" w:line="440" w:lineRule="exact"/>
        <w:rPr>
          <w:rFonts w:ascii="標楷體" w:cs="標楷體" w:hAnsi="標楷體" w:eastAsia="標楷體"/>
          <w:lang w:val="zh-TW" w:eastAsia="zh-TW"/>
        </w:rPr>
      </w:pPr>
      <w:r>
        <w:rPr>
          <w:rFonts w:eastAsia="標楷體" w:hint="eastAsia"/>
          <w:sz w:val="36"/>
          <w:szCs w:val="36"/>
          <w:rtl w:val="0"/>
          <w:lang w:val="zh-TW" w:eastAsia="zh-TW"/>
        </w:rPr>
        <w:t>七、評分標準</w:t>
      </w:r>
    </w:p>
    <w:tbl>
      <w:tblPr>
        <w:tblW w:w="9549" w:type="dxa"/>
        <w:jc w:val="left"/>
        <w:tblInd w:w="529"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16"/>
        <w:gridCol w:w="4588"/>
        <w:gridCol w:w="1237"/>
        <w:gridCol w:w="1508"/>
      </w:tblGrid>
      <w:tr>
        <w:tblPrEx>
          <w:shd w:val="clear" w:color="auto" w:fill="ced7e7"/>
        </w:tblPrEx>
        <w:trPr>
          <w:trHeight w:val="294" w:hRule="atLeast"/>
        </w:trPr>
        <w:tc>
          <w:tcPr>
            <w:tcW w:type="dxa" w:w="2216"/>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center"/>
          </w:tcPr>
          <w:p>
            <w:pPr>
              <w:pStyle w:val="Normal.0"/>
              <w:spacing w:line="20" w:lineRule="atLeast"/>
              <w:jc w:val="center"/>
            </w:pPr>
            <w:r>
              <w:rPr>
                <w:rFonts w:eastAsia="標楷體" w:hint="eastAsia"/>
                <w:sz w:val="28"/>
                <w:szCs w:val="28"/>
                <w:shd w:val="nil" w:color="auto" w:fill="auto"/>
                <w:rtl w:val="0"/>
                <w:lang w:val="zh-TW" w:eastAsia="zh-TW"/>
              </w:rPr>
              <w:t>評分項目</w:t>
            </w:r>
          </w:p>
        </w:tc>
        <w:tc>
          <w:tcPr>
            <w:tcW w:type="dxa" w:w="4588"/>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center"/>
          </w:tcPr>
          <w:p>
            <w:pPr>
              <w:pStyle w:val="Normal.0"/>
              <w:spacing w:line="20" w:lineRule="atLeast"/>
              <w:jc w:val="center"/>
            </w:pPr>
            <w:r>
              <w:rPr>
                <w:rFonts w:eastAsia="標楷體" w:hint="eastAsia"/>
                <w:sz w:val="28"/>
                <w:szCs w:val="28"/>
                <w:shd w:val="nil" w:color="auto" w:fill="auto"/>
                <w:rtl w:val="0"/>
                <w:lang w:val="zh-TW" w:eastAsia="zh-TW"/>
              </w:rPr>
              <w:t>評分內容</w:t>
            </w:r>
          </w:p>
        </w:tc>
        <w:tc>
          <w:tcPr>
            <w:tcW w:type="dxa" w:w="274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center"/>
          </w:tcPr>
          <w:p>
            <w:pPr>
              <w:pStyle w:val="Normal.0"/>
              <w:spacing w:line="20" w:lineRule="atLeast"/>
              <w:jc w:val="center"/>
            </w:pPr>
            <w:r>
              <w:rPr>
                <w:rFonts w:eastAsia="標楷體" w:hint="eastAsia"/>
                <w:sz w:val="28"/>
                <w:szCs w:val="28"/>
                <w:shd w:val="nil" w:color="auto" w:fill="auto"/>
                <w:rtl w:val="0"/>
                <w:lang w:val="zh-TW" w:eastAsia="zh-TW"/>
              </w:rPr>
              <w:t>權重</w:t>
            </w:r>
          </w:p>
        </w:tc>
      </w:tr>
      <w:tr>
        <w:tblPrEx>
          <w:shd w:val="clear" w:color="auto" w:fill="ced7e7"/>
        </w:tblPrEx>
        <w:trPr>
          <w:trHeight w:val="294" w:hRule="atLeast"/>
        </w:trPr>
        <w:tc>
          <w:tcPr>
            <w:tcW w:type="dxa" w:w="2216"/>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4588"/>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center"/>
          </w:tcPr>
          <w:p>
            <w:pPr>
              <w:pStyle w:val="Normal.0"/>
              <w:spacing w:line="20" w:lineRule="atLeast"/>
              <w:jc w:val="center"/>
            </w:pPr>
            <w:r>
              <w:rPr>
                <w:rFonts w:eastAsia="標楷體" w:hint="eastAsia"/>
                <w:sz w:val="28"/>
                <w:szCs w:val="28"/>
                <w:shd w:val="nil" w:color="auto" w:fill="auto"/>
                <w:rtl w:val="0"/>
                <w:lang w:val="zh-TW" w:eastAsia="zh-TW"/>
              </w:rPr>
              <w:t>食品組</w:t>
            </w:r>
          </w:p>
        </w:tc>
        <w:tc>
          <w:tcPr>
            <w:tcW w:type="dxa" w:w="15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center"/>
          </w:tcPr>
          <w:p>
            <w:pPr>
              <w:pStyle w:val="Normal.0"/>
              <w:spacing w:line="20" w:lineRule="atLeast"/>
              <w:jc w:val="center"/>
            </w:pPr>
            <w:r>
              <w:rPr>
                <w:rFonts w:eastAsia="標楷體" w:hint="eastAsia"/>
                <w:sz w:val="28"/>
                <w:szCs w:val="28"/>
                <w:shd w:val="nil" w:color="auto" w:fill="auto"/>
                <w:rtl w:val="0"/>
                <w:lang w:val="zh-TW" w:eastAsia="zh-TW"/>
              </w:rPr>
              <w:t>非食品組</w:t>
            </w:r>
          </w:p>
        </w:tc>
      </w:tr>
      <w:tr>
        <w:tblPrEx>
          <w:shd w:val="clear" w:color="auto" w:fill="ced7e7"/>
        </w:tblPrEx>
        <w:trPr>
          <w:trHeight w:val="776" w:hRule="atLeast"/>
        </w:trPr>
        <w:tc>
          <w:tcPr>
            <w:tcW w:type="dxa" w:w="22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技術與創新性</w:t>
            </w:r>
          </w:p>
        </w:tc>
        <w:tc>
          <w:tcPr>
            <w:tcW w:type="dxa" w:w="45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副產物應用比例、加工技術突破點、產品獨特</w:t>
            </w: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20%</w:t>
            </w:r>
          </w:p>
        </w:tc>
        <w:tc>
          <w:tcPr>
            <w:tcW w:type="dxa" w:w="15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30%</w:t>
            </w:r>
          </w:p>
        </w:tc>
      </w:tr>
      <w:tr>
        <w:tblPrEx>
          <w:shd w:val="clear" w:color="auto" w:fill="ced7e7"/>
        </w:tblPrEx>
        <w:trPr>
          <w:trHeight w:val="776" w:hRule="atLeast"/>
        </w:trPr>
        <w:tc>
          <w:tcPr>
            <w:tcW w:type="dxa" w:w="22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營運可行性</w:t>
            </w:r>
          </w:p>
        </w:tc>
        <w:tc>
          <w:tcPr>
            <w:tcW w:type="dxa" w:w="45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生產流程、成本分析、市場定位與定價策略</w:t>
            </w: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20%</w:t>
            </w:r>
          </w:p>
        </w:tc>
        <w:tc>
          <w:tcPr>
            <w:tcW w:type="dxa" w:w="15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20%</w:t>
            </w:r>
          </w:p>
        </w:tc>
      </w:tr>
      <w:tr>
        <w:tblPrEx>
          <w:shd w:val="clear" w:color="auto" w:fill="ced7e7"/>
        </w:tblPrEx>
        <w:trPr>
          <w:trHeight w:val="444" w:hRule="atLeast"/>
        </w:trPr>
        <w:tc>
          <w:tcPr>
            <w:tcW w:type="dxa" w:w="22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市場潛力</w:t>
            </w:r>
          </w:p>
        </w:tc>
        <w:tc>
          <w:tcPr>
            <w:tcW w:type="dxa" w:w="45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消費趨勢分析、預計通路拓展規劃</w:t>
            </w: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20%</w:t>
            </w:r>
          </w:p>
        </w:tc>
        <w:tc>
          <w:tcPr>
            <w:tcW w:type="dxa" w:w="15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20%</w:t>
            </w:r>
          </w:p>
        </w:tc>
      </w:tr>
      <w:tr>
        <w:tblPrEx>
          <w:shd w:val="clear" w:color="auto" w:fill="ced7e7"/>
        </w:tblPrEx>
        <w:trPr>
          <w:trHeight w:val="776" w:hRule="atLeast"/>
        </w:trPr>
        <w:tc>
          <w:tcPr>
            <w:tcW w:type="dxa" w:w="22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感官</w:t>
            </w:r>
            <w:r>
              <w:rPr>
                <w:rFonts w:ascii="標楷體" w:hAnsi="標楷體"/>
                <w:sz w:val="28"/>
                <w:szCs w:val="28"/>
                <w:shd w:val="nil" w:color="auto" w:fill="auto"/>
                <w:rtl w:val="0"/>
                <w:lang w:val="en-US"/>
              </w:rPr>
              <w:t>/</w:t>
            </w:r>
            <w:r>
              <w:rPr>
                <w:rFonts w:eastAsia="標楷體" w:hint="eastAsia"/>
                <w:sz w:val="28"/>
                <w:szCs w:val="28"/>
                <w:shd w:val="nil" w:color="auto" w:fill="auto"/>
                <w:rtl w:val="0"/>
                <w:lang w:val="zh-TW" w:eastAsia="zh-TW"/>
              </w:rPr>
              <w:t>應用表現</w:t>
            </w:r>
          </w:p>
        </w:tc>
        <w:tc>
          <w:tcPr>
            <w:tcW w:type="dxa" w:w="45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rPr>
                <w:rFonts w:ascii="標楷體" w:cs="標楷體" w:hAnsi="標楷體" w:eastAsia="標楷體"/>
                <w:sz w:val="28"/>
                <w:szCs w:val="28"/>
                <w:shd w:val="nil" w:color="auto" w:fill="auto"/>
              </w:rPr>
            </w:pPr>
            <w:r>
              <w:rPr>
                <w:rFonts w:eastAsia="標楷體" w:hint="eastAsia"/>
                <w:sz w:val="28"/>
                <w:szCs w:val="28"/>
                <w:shd w:val="nil" w:color="auto" w:fill="auto"/>
                <w:rtl w:val="0"/>
                <w:lang w:val="zh-TW" w:eastAsia="zh-TW"/>
              </w:rPr>
              <w:t>食品組</w:t>
            </w:r>
            <w:r>
              <w:rPr>
                <w:rFonts w:eastAsia="標楷體" w:hint="eastAsia"/>
                <w:sz w:val="28"/>
                <w:szCs w:val="28"/>
                <w:shd w:val="nil" w:color="auto" w:fill="auto"/>
                <w:rtl w:val="0"/>
                <w:lang w:val="zh-TW" w:eastAsia="zh-TW"/>
              </w:rPr>
              <w:t>：為風味質地</w:t>
            </w:r>
          </w:p>
          <w:p>
            <w:pPr>
              <w:pStyle w:val="Normal.0"/>
              <w:bidi w:val="0"/>
              <w:spacing w:line="400" w:lineRule="exact"/>
              <w:ind w:left="0" w:right="0" w:firstLine="0"/>
              <w:jc w:val="left"/>
              <w:rPr>
                <w:rtl w:val="0"/>
              </w:rPr>
            </w:pPr>
            <w:r>
              <w:rPr>
                <w:rFonts w:eastAsia="標楷體" w:hint="eastAsia"/>
                <w:sz w:val="28"/>
                <w:szCs w:val="28"/>
                <w:shd w:val="nil" w:color="auto" w:fill="auto"/>
                <w:rtl w:val="0"/>
                <w:lang w:val="zh-TW" w:eastAsia="zh-TW"/>
              </w:rPr>
              <w:t>非食品組</w:t>
            </w:r>
            <w:r>
              <w:rPr>
                <w:rFonts w:eastAsia="標楷體" w:hint="eastAsia"/>
                <w:sz w:val="28"/>
                <w:szCs w:val="28"/>
                <w:shd w:val="nil" w:color="auto" w:fill="auto"/>
                <w:rtl w:val="0"/>
                <w:lang w:val="zh-TW" w:eastAsia="zh-TW"/>
              </w:rPr>
              <w:t>：為使用體感或效能</w:t>
            </w: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30%</w:t>
            </w:r>
          </w:p>
        </w:tc>
        <w:tc>
          <w:tcPr>
            <w:tcW w:type="dxa" w:w="15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10%</w:t>
            </w:r>
          </w:p>
        </w:tc>
      </w:tr>
      <w:tr>
        <w:tblPrEx>
          <w:shd w:val="clear" w:color="auto" w:fill="ced7e7"/>
        </w:tblPrEx>
        <w:trPr>
          <w:trHeight w:val="776" w:hRule="atLeast"/>
        </w:trPr>
        <w:tc>
          <w:tcPr>
            <w:tcW w:type="dxa" w:w="22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產業價值</w:t>
            </w:r>
          </w:p>
        </w:tc>
        <w:tc>
          <w:tcPr>
            <w:tcW w:type="dxa" w:w="45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pPr>
            <w:r>
              <w:rPr>
                <w:rFonts w:eastAsia="標楷體" w:hint="eastAsia"/>
                <w:sz w:val="28"/>
                <w:szCs w:val="28"/>
                <w:shd w:val="nil" w:color="auto" w:fill="auto"/>
                <w:rtl w:val="0"/>
                <w:lang w:val="zh-TW" w:eastAsia="zh-TW"/>
              </w:rPr>
              <w:t>對循環經濟之量化貢獻、解決乳業副產物之效益</w:t>
            </w: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10%</w:t>
            </w:r>
          </w:p>
        </w:tc>
        <w:tc>
          <w:tcPr>
            <w:tcW w:type="dxa" w:w="15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spacing w:line="400" w:lineRule="exact"/>
              <w:jc w:val="center"/>
            </w:pPr>
            <w:r>
              <w:rPr>
                <w:rFonts w:ascii="標楷體" w:hAnsi="標楷體"/>
                <w:sz w:val="28"/>
                <w:szCs w:val="28"/>
                <w:shd w:val="nil" w:color="auto" w:fill="auto"/>
                <w:rtl w:val="0"/>
                <w:lang w:val="en-US"/>
              </w:rPr>
              <w:t>20%</w:t>
            </w:r>
          </w:p>
        </w:tc>
      </w:tr>
    </w:tbl>
    <w:p>
      <w:pPr>
        <w:pStyle w:val="heading 2"/>
        <w:keepNext w:val="0"/>
        <w:keepLines w:val="0"/>
        <w:widowControl w:val="0"/>
        <w:spacing w:before="120" w:after="0" w:line="240" w:lineRule="auto"/>
        <w:ind w:left="421" w:hanging="421"/>
        <w:rPr>
          <w:rFonts w:ascii="標楷體" w:cs="標楷體" w:hAnsi="標楷體" w:eastAsia="標楷體"/>
          <w:lang w:val="zh-TW" w:eastAsia="zh-TW"/>
        </w:rPr>
      </w:pPr>
    </w:p>
    <w:p>
      <w:pPr>
        <w:pStyle w:val="heading 2"/>
        <w:keepNext w:val="0"/>
        <w:keepLines w:val="0"/>
        <w:spacing w:before="100" w:after="0" w:line="440" w:lineRule="exact"/>
        <w:rPr>
          <w:rFonts w:ascii="標楷體" w:cs="標楷體" w:hAnsi="標楷體" w:eastAsia="標楷體"/>
          <w:sz w:val="36"/>
          <w:szCs w:val="36"/>
          <w:lang w:val="zh-TW" w:eastAsia="zh-TW"/>
        </w:rPr>
      </w:pPr>
      <w:r>
        <w:rPr>
          <w:rFonts w:eastAsia="標楷體" w:hint="eastAsia"/>
          <w:sz w:val="36"/>
          <w:szCs w:val="36"/>
          <w:rtl w:val="0"/>
          <w:lang w:val="zh-TW" w:eastAsia="zh-TW"/>
        </w:rPr>
        <w:t>八、獎勵方式</w:t>
      </w:r>
    </w:p>
    <w:p>
      <w:pPr>
        <w:pStyle w:val="Normal.0"/>
        <w:spacing w:line="480" w:lineRule="exact"/>
        <w:rPr>
          <w:rFonts w:ascii="標楷體" w:cs="標楷體" w:hAnsi="標楷體" w:eastAsia="標楷體"/>
          <w:sz w:val="28"/>
          <w:szCs w:val="28"/>
          <w:lang w:val="zh-TW" w:eastAsia="zh-TW"/>
        </w:rPr>
      </w:pPr>
      <w:r>
        <w:rPr>
          <w:rFonts w:eastAsia="標楷體" w:hint="eastAsia"/>
          <w:sz w:val="28"/>
          <w:szCs w:val="28"/>
          <w:rtl w:val="0"/>
          <w:lang w:val="zh-TW" w:eastAsia="zh-TW"/>
        </w:rPr>
        <w:t>本計畫非單一比賽，係針對優秀開發案例給予研發獎勵：</w:t>
      </w:r>
    </w:p>
    <w:p>
      <w:pPr>
        <w:pStyle w:val="List Paragraph"/>
        <w:numPr>
          <w:ilvl w:val="0"/>
          <w:numId w:val="12"/>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食品應用組</w:t>
      </w:r>
      <w:r>
        <w:rPr>
          <w:rFonts w:eastAsia="標楷體" w:hint="eastAsia"/>
          <w:sz w:val="28"/>
          <w:szCs w:val="28"/>
          <w:rtl w:val="0"/>
          <w:lang w:val="zh-TW" w:eastAsia="zh-TW"/>
        </w:rPr>
        <w:t>：遴選</w:t>
      </w:r>
      <w:r>
        <w:rPr>
          <w:rFonts w:ascii="標楷體" w:hAnsi="標楷體"/>
          <w:sz w:val="28"/>
          <w:szCs w:val="28"/>
          <w:u w:val="single"/>
          <w:rtl w:val="0"/>
          <w:lang w:val="en-US"/>
        </w:rPr>
        <w:t xml:space="preserve"> 4 </w:t>
      </w:r>
      <w:r>
        <w:rPr>
          <w:rFonts w:eastAsia="標楷體" w:hint="eastAsia"/>
          <w:sz w:val="28"/>
          <w:szCs w:val="28"/>
          <w:rtl w:val="0"/>
          <w:lang w:val="zh-TW" w:eastAsia="zh-TW"/>
        </w:rPr>
        <w:t>款產品，每款獎勵金</w:t>
      </w:r>
      <w:r>
        <w:rPr>
          <w:rFonts w:ascii="標楷體" w:hAnsi="標楷體"/>
          <w:sz w:val="28"/>
          <w:szCs w:val="28"/>
          <w:rtl w:val="0"/>
          <w:lang w:val="en-US"/>
        </w:rPr>
        <w:t>NT$ 60,000</w:t>
      </w:r>
      <w:r>
        <w:rPr>
          <w:rFonts w:eastAsia="標楷體" w:hint="eastAsia"/>
          <w:sz w:val="28"/>
          <w:szCs w:val="28"/>
          <w:rtl w:val="0"/>
          <w:lang w:val="zh-TW" w:eastAsia="zh-TW"/>
        </w:rPr>
        <w:t>元</w:t>
      </w:r>
      <w:r>
        <w:rPr>
          <w:rFonts w:eastAsia="標楷體" w:hint="eastAsia"/>
          <w:sz w:val="28"/>
          <w:szCs w:val="28"/>
          <w:rtl w:val="0"/>
          <w:lang w:val="zh-TW" w:eastAsia="zh-TW"/>
        </w:rPr>
        <w:t>及獎狀乙紙。</w:t>
      </w:r>
    </w:p>
    <w:p>
      <w:pPr>
        <w:pStyle w:val="List Paragraph"/>
        <w:numPr>
          <w:ilvl w:val="0"/>
          <w:numId w:val="12"/>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非食品應用組</w:t>
      </w:r>
      <w:r>
        <w:rPr>
          <w:rFonts w:eastAsia="標楷體" w:hint="eastAsia"/>
          <w:sz w:val="28"/>
          <w:szCs w:val="28"/>
          <w:rtl w:val="0"/>
          <w:lang w:val="zh-TW" w:eastAsia="zh-TW"/>
        </w:rPr>
        <w:t>：遴選</w:t>
      </w:r>
      <w:r>
        <w:rPr>
          <w:rFonts w:ascii="標楷體" w:hAnsi="標楷體"/>
          <w:sz w:val="28"/>
          <w:szCs w:val="28"/>
          <w:u w:val="single"/>
          <w:rtl w:val="0"/>
          <w:lang w:val="en-US"/>
        </w:rPr>
        <w:t xml:space="preserve"> 4 </w:t>
      </w:r>
      <w:r>
        <w:rPr>
          <w:rFonts w:eastAsia="標楷體" w:hint="eastAsia"/>
          <w:sz w:val="28"/>
          <w:szCs w:val="28"/>
          <w:rtl w:val="0"/>
          <w:lang w:val="zh-TW" w:eastAsia="zh-TW"/>
        </w:rPr>
        <w:t>款產品，每款獎勵金</w:t>
      </w:r>
      <w:r>
        <w:rPr>
          <w:rFonts w:ascii="標楷體" w:hAnsi="標楷體"/>
          <w:sz w:val="28"/>
          <w:szCs w:val="28"/>
          <w:rtl w:val="0"/>
          <w:lang w:val="en-US"/>
        </w:rPr>
        <w:t>NT$ 65,000</w:t>
      </w:r>
      <w:r>
        <w:rPr>
          <w:rFonts w:eastAsia="標楷體" w:hint="eastAsia"/>
          <w:sz w:val="28"/>
          <w:szCs w:val="28"/>
          <w:rtl w:val="0"/>
          <w:lang w:val="zh-TW" w:eastAsia="zh-TW"/>
        </w:rPr>
        <w:t>元</w:t>
      </w:r>
      <w:r>
        <w:rPr>
          <w:rFonts w:eastAsia="標楷體" w:hint="eastAsia"/>
          <w:sz w:val="28"/>
          <w:szCs w:val="28"/>
          <w:rtl w:val="0"/>
          <w:lang w:val="zh-TW" w:eastAsia="zh-TW"/>
        </w:rPr>
        <w:t>及獎狀乙紙。</w:t>
      </w:r>
    </w:p>
    <w:p>
      <w:pPr>
        <w:pStyle w:val="List Paragraph"/>
        <w:numPr>
          <w:ilvl w:val="0"/>
          <w:numId w:val="12"/>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加值輔導：</w:t>
      </w:r>
      <w:r>
        <w:rPr>
          <w:rFonts w:eastAsia="標楷體" w:hint="eastAsia"/>
          <w:sz w:val="28"/>
          <w:szCs w:val="28"/>
          <w:rtl w:val="0"/>
          <w:lang w:val="zh-TW" w:eastAsia="zh-TW"/>
        </w:rPr>
        <w:t>獲選案例除上述一次性研發獎勵金外，將由主辦單位協助後續通路媒合並提供展售建議機會，加速產品商用化進程。</w:t>
      </w:r>
    </w:p>
    <w:p>
      <w:pPr>
        <w:pStyle w:val="Normal.0"/>
        <w:spacing w:line="480" w:lineRule="exact"/>
      </w:pPr>
      <w:r>
        <w:rPr>
          <w:rFonts w:ascii="標楷體" w:hAnsi="標楷體" w:hint="default"/>
          <w:sz w:val="28"/>
          <w:szCs w:val="28"/>
          <w:rtl w:val="0"/>
          <w:lang w:val="en-US"/>
        </w:rPr>
        <w:t>※</w:t>
      </w:r>
      <w:r>
        <w:rPr>
          <w:rFonts w:eastAsia="標楷體" w:hint="eastAsia"/>
          <w:sz w:val="28"/>
          <w:szCs w:val="28"/>
          <w:rtl w:val="0"/>
          <w:lang w:val="zh-TW" w:eastAsia="zh-TW"/>
        </w:rPr>
        <w:t>注意事項</w:t>
      </w:r>
      <w:r>
        <w:rPr>
          <w:rFonts w:eastAsia="標楷體" w:hint="eastAsia"/>
          <w:sz w:val="28"/>
          <w:szCs w:val="28"/>
          <w:rtl w:val="0"/>
          <w:lang w:val="zh-TW" w:eastAsia="zh-TW"/>
        </w:rPr>
        <w:t>：主辦單位保留獎項從缺之權利，並視報名狀況由評審會議調整名額，於總預算內彈性運用；獎勵金經依專家審查決議核發。</w:t>
      </w:r>
    </w:p>
    <w:p>
      <w:pPr>
        <w:pStyle w:val="heading 2"/>
        <w:keepNext w:val="0"/>
        <w:keepLines w:val="0"/>
        <w:spacing w:before="240" w:after="0" w:line="440" w:lineRule="exact"/>
        <w:rPr>
          <w:rFonts w:ascii="標楷體" w:cs="標楷體" w:hAnsi="標楷體" w:eastAsia="標楷體"/>
          <w:sz w:val="36"/>
          <w:szCs w:val="36"/>
          <w:lang w:val="zh-TW" w:eastAsia="zh-TW"/>
        </w:rPr>
      </w:pPr>
      <w:r>
        <w:rPr>
          <w:rFonts w:eastAsia="標楷體" w:hint="eastAsia"/>
          <w:sz w:val="36"/>
          <w:szCs w:val="36"/>
          <w:rtl w:val="0"/>
          <w:lang w:val="zh-TW" w:eastAsia="zh-TW"/>
        </w:rPr>
        <w:t>九、評選時程與報名方式</w:t>
      </w:r>
    </w:p>
    <w:p>
      <w:pPr>
        <w:pStyle w:val="Normal.0"/>
        <w:spacing w:before="120" w:line="440" w:lineRule="exact"/>
        <w:rPr>
          <w:rFonts w:ascii="標楷體" w:cs="標楷體" w:hAnsi="標楷體" w:eastAsia="標楷體"/>
          <w:sz w:val="28"/>
          <w:szCs w:val="28"/>
        </w:rPr>
      </w:pPr>
      <w:r>
        <w:rPr>
          <w:rFonts w:eastAsia="標楷體" w:hint="eastAsia"/>
          <w:sz w:val="32"/>
          <w:szCs w:val="32"/>
          <w:rtl w:val="0"/>
          <w:lang w:val="zh-TW" w:eastAsia="zh-TW"/>
        </w:rPr>
        <w:t>報名期間</w:t>
      </w:r>
      <w:r>
        <w:rPr>
          <w:rFonts w:eastAsia="標楷體" w:hint="eastAsia"/>
          <w:sz w:val="28"/>
          <w:szCs w:val="28"/>
          <w:rtl w:val="0"/>
          <w:lang w:val="zh-TW" w:eastAsia="zh-TW"/>
        </w:rPr>
        <w:t xml:space="preserve">：自公告日起至 </w:t>
      </w:r>
      <w:r>
        <w:rPr>
          <w:rFonts w:ascii="標楷體" w:hAnsi="標楷體"/>
          <w:sz w:val="28"/>
          <w:szCs w:val="28"/>
          <w:rtl w:val="0"/>
          <w:lang w:val="en-US"/>
        </w:rPr>
        <w:t xml:space="preserve">115 </w:t>
      </w:r>
      <w:r>
        <w:rPr>
          <w:rFonts w:eastAsia="標楷體" w:hint="eastAsia"/>
          <w:sz w:val="28"/>
          <w:szCs w:val="28"/>
          <w:rtl w:val="0"/>
          <w:lang w:val="zh-TW" w:eastAsia="zh-TW"/>
        </w:rPr>
        <w:t xml:space="preserve">年 </w:t>
      </w:r>
      <w:r>
        <w:rPr>
          <w:rFonts w:ascii="標楷體" w:hAnsi="標楷體"/>
          <w:sz w:val="28"/>
          <w:szCs w:val="28"/>
          <w:rtl w:val="0"/>
          <w:lang w:val="en-US"/>
        </w:rPr>
        <w:t>9</w:t>
      </w:r>
      <w:r>
        <w:rPr>
          <w:rFonts w:eastAsia="標楷體" w:hint="eastAsia"/>
          <w:sz w:val="28"/>
          <w:szCs w:val="28"/>
          <w:rtl w:val="0"/>
          <w:lang w:val="zh-TW" w:eastAsia="zh-TW"/>
        </w:rPr>
        <w:t>月</w:t>
      </w:r>
      <w:r>
        <w:rPr>
          <w:rFonts w:ascii="標楷體" w:hAnsi="標楷體"/>
          <w:sz w:val="28"/>
          <w:szCs w:val="28"/>
          <w:rtl w:val="0"/>
          <w:lang w:val="en-US"/>
        </w:rPr>
        <w:t xml:space="preserve">30 </w:t>
      </w:r>
      <w:r>
        <w:rPr>
          <w:rFonts w:eastAsia="標楷體" w:hint="eastAsia"/>
          <w:sz w:val="28"/>
          <w:szCs w:val="28"/>
          <w:rtl w:val="0"/>
          <w:lang w:val="zh-TW" w:eastAsia="zh-TW"/>
        </w:rPr>
        <w:t>日止。</w:t>
      </w:r>
    </w:p>
    <w:p>
      <w:pPr>
        <w:pStyle w:val="List Paragraph"/>
        <w:numPr>
          <w:ilvl w:val="0"/>
          <w:numId w:val="14"/>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初審（書面審查）公告日：擬定</w:t>
      </w:r>
      <w:r>
        <w:rPr>
          <w:rFonts w:ascii="標楷體" w:hAnsi="標楷體"/>
          <w:sz w:val="28"/>
          <w:szCs w:val="28"/>
          <w:rtl w:val="0"/>
          <w:lang w:val="en-US"/>
        </w:rPr>
        <w:t xml:space="preserve">115 </w:t>
      </w:r>
      <w:r>
        <w:rPr>
          <w:rFonts w:eastAsia="標楷體" w:hint="eastAsia"/>
          <w:sz w:val="28"/>
          <w:szCs w:val="28"/>
          <w:rtl w:val="0"/>
          <w:lang w:val="zh-TW" w:eastAsia="zh-TW"/>
        </w:rPr>
        <w:t xml:space="preserve">年 </w:t>
      </w:r>
      <w:r>
        <w:rPr>
          <w:rFonts w:ascii="標楷體" w:hAnsi="標楷體"/>
          <w:sz w:val="28"/>
          <w:szCs w:val="28"/>
          <w:rtl w:val="0"/>
          <w:lang w:val="en-US"/>
        </w:rPr>
        <w:t xml:space="preserve">10 </w:t>
      </w:r>
      <w:r>
        <w:rPr>
          <w:rFonts w:eastAsia="標楷體" w:hint="eastAsia"/>
          <w:sz w:val="28"/>
          <w:szCs w:val="28"/>
          <w:rtl w:val="0"/>
          <w:lang w:val="zh-TW" w:eastAsia="zh-TW"/>
        </w:rPr>
        <w:t xml:space="preserve">月 </w:t>
      </w:r>
      <w:r>
        <w:rPr>
          <w:rFonts w:ascii="標楷體" w:hAnsi="標楷體"/>
          <w:sz w:val="28"/>
          <w:szCs w:val="28"/>
          <w:rtl w:val="0"/>
          <w:lang w:val="en-US"/>
        </w:rPr>
        <w:t>23</w:t>
      </w:r>
      <w:r>
        <w:rPr>
          <w:rFonts w:eastAsia="標楷體" w:hint="eastAsia"/>
          <w:sz w:val="28"/>
          <w:szCs w:val="28"/>
          <w:rtl w:val="0"/>
          <w:lang w:val="zh-TW" w:eastAsia="zh-TW"/>
        </w:rPr>
        <w:t xml:space="preserve"> 日</w:t>
      </w:r>
      <w:r>
        <w:rPr>
          <w:rFonts w:ascii="標楷體" w:hAnsi="標楷體"/>
          <w:sz w:val="28"/>
          <w:szCs w:val="28"/>
          <w:rtl w:val="0"/>
          <w:lang w:val="en-US"/>
        </w:rPr>
        <w:t>(</w:t>
      </w:r>
      <w:r>
        <w:rPr>
          <w:rFonts w:eastAsia="標楷體" w:hint="eastAsia"/>
          <w:sz w:val="28"/>
          <w:szCs w:val="28"/>
          <w:rtl w:val="0"/>
          <w:lang w:val="zh-TW" w:eastAsia="zh-TW"/>
        </w:rPr>
        <w:t>五</w:t>
      </w:r>
      <w:r>
        <w:rPr>
          <w:rFonts w:ascii="標楷體" w:hAnsi="標楷體"/>
          <w:sz w:val="28"/>
          <w:szCs w:val="28"/>
          <w:rtl w:val="0"/>
          <w:lang w:val="en-US"/>
        </w:rPr>
        <w:t>)</w:t>
      </w:r>
      <w:r>
        <w:rPr>
          <w:rFonts w:eastAsia="標楷體" w:hint="eastAsia"/>
          <w:sz w:val="28"/>
          <w:szCs w:val="28"/>
          <w:rtl w:val="0"/>
          <w:lang w:val="zh-TW" w:eastAsia="zh-TW"/>
        </w:rPr>
        <w:t>。</w:t>
      </w:r>
    </w:p>
    <w:p>
      <w:pPr>
        <w:pStyle w:val="List Paragraph"/>
        <w:numPr>
          <w:ilvl w:val="0"/>
          <w:numId w:val="14"/>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複</w:t>
      </w:r>
      <w:r>
        <w:rPr>
          <w:rFonts w:ascii="標楷體" w:hAnsi="標楷體"/>
          <w:sz w:val="28"/>
          <w:szCs w:val="28"/>
          <w:rtl w:val="0"/>
          <w:lang w:val="en-US"/>
        </w:rPr>
        <w:t>/</w:t>
      </w:r>
      <w:r>
        <w:rPr>
          <w:rFonts w:eastAsia="標楷體" w:hint="eastAsia"/>
          <w:sz w:val="28"/>
          <w:szCs w:val="28"/>
          <w:rtl w:val="0"/>
          <w:lang w:val="zh-TW" w:eastAsia="zh-TW"/>
        </w:rPr>
        <w:t>決審（現場評鑑</w:t>
      </w:r>
      <w:r>
        <w:rPr>
          <w:rFonts w:ascii="標楷體" w:hAnsi="標楷體"/>
          <w:sz w:val="28"/>
          <w:szCs w:val="28"/>
          <w:rtl w:val="0"/>
          <w:lang w:val="en-US"/>
        </w:rPr>
        <w:t>/</w:t>
      </w:r>
      <w:r>
        <w:rPr>
          <w:rFonts w:eastAsia="標楷體" w:hint="eastAsia"/>
          <w:sz w:val="28"/>
          <w:szCs w:val="28"/>
          <w:rtl w:val="0"/>
          <w:lang w:val="zh-TW" w:eastAsia="zh-TW"/>
        </w:rPr>
        <w:t>品評</w:t>
      </w:r>
      <w:r>
        <w:rPr>
          <w:rFonts w:ascii="標楷體" w:hAnsi="標楷體"/>
          <w:sz w:val="28"/>
          <w:szCs w:val="28"/>
          <w:rtl w:val="0"/>
          <w:lang w:val="en-US"/>
        </w:rPr>
        <w:t>/</w:t>
      </w:r>
      <w:r>
        <w:rPr>
          <w:rFonts w:eastAsia="標楷體" w:hint="eastAsia"/>
          <w:sz w:val="28"/>
          <w:szCs w:val="28"/>
          <w:rtl w:val="0"/>
          <w:lang w:val="zh-TW" w:eastAsia="zh-TW"/>
        </w:rPr>
        <w:t>獎勵表揚）：擬定</w:t>
      </w:r>
      <w:r>
        <w:rPr>
          <w:rFonts w:ascii="標楷體" w:hAnsi="標楷體"/>
          <w:sz w:val="28"/>
          <w:szCs w:val="28"/>
          <w:rtl w:val="0"/>
          <w:lang w:val="en-US"/>
        </w:rPr>
        <w:t xml:space="preserve">115 </w:t>
      </w:r>
      <w:r>
        <w:rPr>
          <w:rFonts w:eastAsia="標楷體" w:hint="eastAsia"/>
          <w:sz w:val="28"/>
          <w:szCs w:val="28"/>
          <w:rtl w:val="0"/>
          <w:lang w:val="zh-TW" w:eastAsia="zh-TW"/>
        </w:rPr>
        <w:t xml:space="preserve">年 </w:t>
      </w:r>
      <w:r>
        <w:rPr>
          <w:rFonts w:ascii="標楷體" w:hAnsi="標楷體"/>
          <w:sz w:val="28"/>
          <w:szCs w:val="28"/>
          <w:rtl w:val="0"/>
          <w:lang w:val="en-US"/>
        </w:rPr>
        <w:t>11</w:t>
      </w:r>
      <w:r>
        <w:rPr>
          <w:rFonts w:eastAsia="標楷體" w:hint="eastAsia"/>
          <w:sz w:val="28"/>
          <w:szCs w:val="28"/>
          <w:rtl w:val="0"/>
          <w:lang w:val="zh-TW" w:eastAsia="zh-TW"/>
        </w:rPr>
        <w:t xml:space="preserve">月 </w:t>
      </w:r>
      <w:r>
        <w:rPr>
          <w:rFonts w:ascii="標楷體" w:hAnsi="標楷體"/>
          <w:sz w:val="28"/>
          <w:szCs w:val="28"/>
          <w:rtl w:val="0"/>
          <w:lang w:val="en-US"/>
        </w:rPr>
        <w:t xml:space="preserve">20 </w:t>
      </w:r>
      <w:r>
        <w:rPr>
          <w:rFonts w:eastAsia="標楷體" w:hint="eastAsia"/>
          <w:sz w:val="28"/>
          <w:szCs w:val="28"/>
          <w:rtl w:val="0"/>
          <w:lang w:val="zh-TW" w:eastAsia="zh-TW"/>
        </w:rPr>
        <w:t>日</w:t>
      </w:r>
      <w:r>
        <w:rPr>
          <w:rFonts w:ascii="標楷體" w:hAnsi="標楷體"/>
          <w:sz w:val="28"/>
          <w:szCs w:val="28"/>
          <w:rtl w:val="0"/>
          <w:lang w:val="en-US"/>
        </w:rPr>
        <w:t>(</w:t>
      </w:r>
      <w:r>
        <w:rPr>
          <w:rFonts w:eastAsia="標楷體" w:hint="eastAsia"/>
          <w:sz w:val="28"/>
          <w:szCs w:val="28"/>
          <w:rtl w:val="0"/>
          <w:lang w:val="zh-TW" w:eastAsia="zh-TW"/>
        </w:rPr>
        <w:t>五</w:t>
      </w:r>
      <w:r>
        <w:rPr>
          <w:rFonts w:ascii="標楷體" w:hAnsi="標楷體"/>
          <w:sz w:val="28"/>
          <w:szCs w:val="28"/>
          <w:rtl w:val="0"/>
          <w:lang w:val="en-US"/>
        </w:rPr>
        <w:t>)</w:t>
      </w:r>
      <w:r>
        <w:rPr>
          <w:rFonts w:eastAsia="標楷體" w:hint="eastAsia"/>
          <w:sz w:val="28"/>
          <w:szCs w:val="28"/>
          <w:rtl w:val="0"/>
          <w:lang w:val="zh-TW" w:eastAsia="zh-TW"/>
        </w:rPr>
        <w:t>。</w:t>
      </w:r>
    </w:p>
    <w:p>
      <w:pPr>
        <w:pStyle w:val="List Paragraph"/>
        <w:numPr>
          <w:ilvl w:val="0"/>
          <w:numId w:val="14"/>
        </w:numPr>
        <w:bidi w:val="0"/>
        <w:spacing w:line="480" w:lineRule="exact"/>
        <w:ind w:right="0"/>
        <w:jc w:val="left"/>
        <w:rPr>
          <w:rFonts w:eastAsia="標楷體" w:hint="eastAsia"/>
          <w:sz w:val="28"/>
          <w:szCs w:val="28"/>
          <w:rtl w:val="0"/>
          <w:lang w:val="zh-TW" w:eastAsia="zh-TW"/>
        </w:rPr>
      </w:pPr>
      <w:r>
        <w:rPr>
          <w:rFonts w:eastAsia="標楷體" w:hint="eastAsia"/>
          <w:sz w:val="28"/>
          <w:szCs w:val="28"/>
          <w:rtl w:val="0"/>
          <w:lang w:val="zh-TW" w:eastAsia="zh-TW"/>
        </w:rPr>
        <w:t>獲獎名單將會公告於臺灣起司專門協會網站。</w:t>
      </w:r>
    </w:p>
    <w:p>
      <w:pPr>
        <w:pStyle w:val="Normal.0"/>
        <w:spacing w:before="120" w:line="440" w:lineRule="exact"/>
        <w:rPr>
          <w:rFonts w:ascii="標楷體" w:cs="標楷體" w:hAnsi="標楷體" w:eastAsia="標楷體"/>
          <w:sz w:val="28"/>
          <w:szCs w:val="28"/>
        </w:rPr>
      </w:pPr>
      <w:r>
        <w:rPr>
          <w:rFonts w:eastAsia="標楷體" w:hint="eastAsia"/>
          <w:sz w:val="32"/>
          <w:szCs w:val="32"/>
          <w:rtl w:val="0"/>
          <w:lang w:val="zh-TW" w:eastAsia="zh-TW"/>
        </w:rPr>
        <w:t>報名應備文件</w:t>
      </w:r>
      <w:r>
        <w:rPr>
          <w:rFonts w:eastAsia="標楷體" w:hint="eastAsia"/>
          <w:sz w:val="28"/>
          <w:szCs w:val="28"/>
          <w:rtl w:val="0"/>
          <w:lang w:val="zh-TW" w:eastAsia="zh-TW"/>
        </w:rPr>
        <w:t xml:space="preserve">（請依序排列提供 </w:t>
      </w:r>
      <w:r>
        <w:rPr>
          <w:rFonts w:ascii="標楷體" w:hAnsi="標楷體"/>
          <w:sz w:val="28"/>
          <w:szCs w:val="28"/>
          <w:rtl w:val="0"/>
          <w:lang w:val="en-US"/>
        </w:rPr>
        <w:t xml:space="preserve">PDF </w:t>
      </w:r>
      <w:r>
        <w:rPr>
          <w:rFonts w:eastAsia="標楷體" w:hint="eastAsia"/>
          <w:sz w:val="28"/>
          <w:szCs w:val="28"/>
          <w:rtl w:val="0"/>
          <w:lang w:val="zh-TW" w:eastAsia="zh-TW"/>
        </w:rPr>
        <w:t>電子檔或紙本）：</w:t>
      </w:r>
    </w:p>
    <w:p>
      <w:pPr>
        <w:pStyle w:val="Normal.0"/>
        <w:spacing w:line="480" w:lineRule="exact"/>
        <w:ind w:firstLine="283"/>
        <w:rPr>
          <w:rFonts w:ascii="標楷體" w:cs="標楷體" w:hAnsi="標楷體" w:eastAsia="標楷體"/>
          <w:sz w:val="28"/>
          <w:szCs w:val="28"/>
        </w:rPr>
      </w:pPr>
      <w:r>
        <w:rPr>
          <w:rFonts w:ascii="標楷體" w:hAnsi="標楷體"/>
          <w:sz w:val="28"/>
          <w:szCs w:val="28"/>
          <w:rtl w:val="0"/>
          <w:lang w:val="en-US"/>
        </w:rPr>
        <w:t>1.</w:t>
      </w:r>
      <w:r>
        <w:rPr>
          <w:rFonts w:eastAsia="標楷體" w:hint="eastAsia"/>
          <w:sz w:val="28"/>
          <w:szCs w:val="28"/>
          <w:rtl w:val="0"/>
          <w:lang w:val="zh-TW" w:eastAsia="zh-TW"/>
        </w:rPr>
        <w:t>參選報名表（附件一）：每款產品填寫一張。</w:t>
      </w:r>
    </w:p>
    <w:p>
      <w:pPr>
        <w:pStyle w:val="Normal.0"/>
        <w:spacing w:line="480" w:lineRule="exact"/>
        <w:ind w:firstLine="283"/>
        <w:rPr>
          <w:rFonts w:ascii="標楷體" w:cs="標楷體" w:hAnsi="標楷體" w:eastAsia="標楷體"/>
          <w:sz w:val="28"/>
          <w:szCs w:val="28"/>
        </w:rPr>
      </w:pPr>
      <w:r>
        <w:rPr>
          <w:rFonts w:ascii="標楷體" w:hAnsi="標楷體"/>
          <w:sz w:val="28"/>
          <w:szCs w:val="28"/>
          <w:rtl w:val="0"/>
          <w:lang w:val="en-US"/>
        </w:rPr>
        <w:t>2.</w:t>
      </w:r>
      <w:r>
        <w:rPr>
          <w:rFonts w:eastAsia="標楷體" w:hint="eastAsia"/>
          <w:sz w:val="28"/>
          <w:szCs w:val="28"/>
          <w:rtl w:val="0"/>
          <w:lang w:val="zh-TW" w:eastAsia="zh-TW"/>
        </w:rPr>
        <w:t>參選切結書暨個資授權書（附件二）：須蓋單位公章。</w:t>
      </w:r>
    </w:p>
    <w:p>
      <w:pPr>
        <w:pStyle w:val="Normal.0"/>
        <w:spacing w:line="480" w:lineRule="exact"/>
        <w:ind w:left="283" w:firstLine="0"/>
        <w:rPr>
          <w:rFonts w:ascii="標楷體" w:cs="標楷體" w:hAnsi="標楷體" w:eastAsia="標楷體"/>
          <w:sz w:val="28"/>
          <w:szCs w:val="28"/>
        </w:rPr>
      </w:pPr>
      <w:r>
        <w:rPr>
          <w:rFonts w:ascii="標楷體" w:hAnsi="標楷體"/>
          <w:sz w:val="28"/>
          <w:szCs w:val="28"/>
          <w:rtl w:val="0"/>
          <w:lang w:val="en-US"/>
        </w:rPr>
        <w:t>3.</w:t>
      </w:r>
      <w:r>
        <w:rPr>
          <w:rFonts w:eastAsia="標楷體" w:hint="eastAsia"/>
          <w:sz w:val="28"/>
          <w:szCs w:val="28"/>
          <w:rtl w:val="0"/>
          <w:lang w:val="zh-TW" w:eastAsia="zh-TW"/>
        </w:rPr>
        <w:t>產品開發計畫書</w:t>
      </w:r>
      <w:r>
        <w:rPr>
          <w:rFonts w:ascii="標楷體" w:hAnsi="標楷體"/>
          <w:sz w:val="28"/>
          <w:szCs w:val="28"/>
          <w:rtl w:val="0"/>
          <w:lang w:val="en-US"/>
        </w:rPr>
        <w:t>(</w:t>
      </w:r>
      <w:r>
        <w:rPr>
          <w:rFonts w:eastAsia="標楷體" w:hint="eastAsia"/>
          <w:sz w:val="28"/>
          <w:szCs w:val="28"/>
          <w:rtl w:val="0"/>
          <w:lang w:val="zh-TW" w:eastAsia="zh-TW"/>
        </w:rPr>
        <w:t>附件三</w:t>
      </w:r>
      <w:r>
        <w:rPr>
          <w:rFonts w:ascii="標楷體" w:hAnsi="標楷體"/>
          <w:sz w:val="28"/>
          <w:szCs w:val="28"/>
          <w:rtl w:val="0"/>
          <w:lang w:val="en-US"/>
        </w:rPr>
        <w:t>)</w:t>
      </w:r>
      <w:r>
        <w:rPr>
          <w:rFonts w:eastAsia="標楷體" w:hint="eastAsia"/>
          <w:sz w:val="28"/>
          <w:szCs w:val="28"/>
          <w:rtl w:val="0"/>
          <w:lang w:val="zh-TW" w:eastAsia="zh-TW"/>
        </w:rPr>
        <w:t>：簡述開發動機、製程說明、副產物使用比例及營運與市場分析）。</w:t>
      </w:r>
    </w:p>
    <w:p>
      <w:pPr>
        <w:pStyle w:val="Normal.0"/>
        <w:spacing w:line="480" w:lineRule="exact"/>
        <w:ind w:firstLine="283"/>
        <w:rPr>
          <w:rFonts w:ascii="標楷體" w:cs="標楷體" w:hAnsi="標楷體" w:eastAsia="標楷體"/>
          <w:sz w:val="28"/>
          <w:szCs w:val="28"/>
        </w:rPr>
      </w:pPr>
      <w:r>
        <w:rPr>
          <w:rFonts w:ascii="標楷體" w:hAnsi="標楷體"/>
          <w:sz w:val="28"/>
          <w:szCs w:val="28"/>
          <w:rtl w:val="0"/>
          <w:lang w:val="en-US"/>
        </w:rPr>
        <w:t xml:space="preserve">4. </w:t>
      </w:r>
      <w:r>
        <w:rPr>
          <w:rFonts w:eastAsia="標楷體" w:hint="eastAsia"/>
          <w:sz w:val="28"/>
          <w:szCs w:val="28"/>
          <w:rtl w:val="0"/>
          <w:lang w:val="zh-TW" w:eastAsia="zh-TW"/>
        </w:rPr>
        <w:t>原料來源證明：</w:t>
      </w:r>
      <w:r>
        <w:rPr>
          <w:rFonts w:eastAsia="標楷體" w:hint="eastAsia"/>
          <w:sz w:val="28"/>
          <w:szCs w:val="28"/>
          <w:rtl w:val="0"/>
          <w:lang w:val="zh-TW" w:eastAsia="zh-TW"/>
        </w:rPr>
        <w:t>國產</w:t>
      </w:r>
      <w:r>
        <w:rPr>
          <w:rFonts w:eastAsia="標楷體" w:hint="eastAsia"/>
          <w:sz w:val="28"/>
          <w:szCs w:val="28"/>
          <w:rtl w:val="0"/>
          <w:lang w:val="zh-TW" w:eastAsia="zh-TW"/>
        </w:rPr>
        <w:t>乳源</w:t>
      </w:r>
      <w:r>
        <w:rPr>
          <w:rFonts w:ascii="標楷體" w:hAnsi="標楷體"/>
          <w:sz w:val="28"/>
          <w:szCs w:val="28"/>
          <w:rtl w:val="0"/>
          <w:lang w:val="en-US"/>
        </w:rPr>
        <w:t>/</w:t>
      </w:r>
      <w:r>
        <w:rPr>
          <w:rFonts w:eastAsia="標楷體" w:hint="eastAsia"/>
          <w:sz w:val="28"/>
          <w:szCs w:val="28"/>
          <w:rtl w:val="0"/>
          <w:lang w:val="zh-TW" w:eastAsia="zh-TW"/>
        </w:rPr>
        <w:t>來源證明與批次紀錄。</w:t>
      </w:r>
    </w:p>
    <w:p>
      <w:pPr>
        <w:pStyle w:val="Normal.0"/>
        <w:spacing w:line="480" w:lineRule="exact"/>
        <w:ind w:firstLine="283"/>
        <w:rPr>
          <w:rFonts w:ascii="標楷體" w:cs="標楷體" w:hAnsi="標楷體" w:eastAsia="標楷體"/>
          <w:sz w:val="28"/>
          <w:szCs w:val="28"/>
        </w:rPr>
      </w:pPr>
      <w:r>
        <w:rPr>
          <w:rFonts w:ascii="標楷體" w:hAnsi="標楷體"/>
          <w:sz w:val="28"/>
          <w:szCs w:val="28"/>
          <w:rtl w:val="0"/>
          <w:lang w:val="en-US"/>
        </w:rPr>
        <w:t xml:space="preserve">5. </w:t>
      </w:r>
      <w:r>
        <w:rPr>
          <w:rFonts w:eastAsia="標楷體" w:hint="eastAsia"/>
          <w:sz w:val="28"/>
          <w:szCs w:val="28"/>
          <w:rtl w:val="0"/>
          <w:lang w:val="zh-TW" w:eastAsia="zh-TW"/>
        </w:rPr>
        <w:t>資格證明文件：工廠登記證、公司登記。</w:t>
      </w:r>
    </w:p>
    <w:p>
      <w:pPr>
        <w:pStyle w:val="Normal.0"/>
        <w:spacing w:line="480" w:lineRule="exact"/>
        <w:ind w:firstLine="283"/>
        <w:rPr>
          <w:rFonts w:ascii="標楷體" w:cs="標楷體" w:hAnsi="標楷體" w:eastAsia="標楷體"/>
        </w:rPr>
      </w:pPr>
      <w:r>
        <w:rPr>
          <w:rFonts w:ascii="標楷體" w:hAnsi="標楷體"/>
          <w:sz w:val="28"/>
          <w:szCs w:val="28"/>
          <w:rtl w:val="0"/>
          <w:lang w:val="en-US"/>
        </w:rPr>
        <w:t xml:space="preserve">6. </w:t>
      </w:r>
      <w:r>
        <w:rPr>
          <w:rFonts w:eastAsia="標楷體" w:hint="eastAsia"/>
          <w:sz w:val="28"/>
          <w:szCs w:val="28"/>
          <w:rtl w:val="0"/>
          <w:lang w:val="zh-TW" w:eastAsia="zh-TW"/>
        </w:rPr>
        <w:t>參選自評檢核表</w:t>
      </w:r>
      <w:r>
        <w:rPr>
          <w:rFonts w:ascii="標楷體" w:hAnsi="標楷體"/>
          <w:sz w:val="28"/>
          <w:szCs w:val="28"/>
          <w:rtl w:val="0"/>
          <w:lang w:val="en-US"/>
        </w:rPr>
        <w:t>(</w:t>
      </w:r>
      <w:r>
        <w:rPr>
          <w:rFonts w:eastAsia="標楷體" w:hint="eastAsia"/>
          <w:sz w:val="28"/>
          <w:szCs w:val="28"/>
          <w:rtl w:val="0"/>
          <w:lang w:val="zh-TW" w:eastAsia="zh-TW"/>
        </w:rPr>
        <w:t>附件四</w:t>
      </w:r>
      <w:r>
        <w:rPr>
          <w:rFonts w:ascii="標楷體" w:hAnsi="標楷體"/>
          <w:sz w:val="28"/>
          <w:szCs w:val="28"/>
          <w:rtl w:val="0"/>
          <w:lang w:val="en-US"/>
        </w:rPr>
        <w:t>)</w:t>
      </w:r>
      <w:r>
        <w:rPr>
          <w:rFonts w:eastAsia="標楷體" w:hint="eastAsia"/>
          <w:sz w:val="28"/>
          <w:szCs w:val="28"/>
          <w:rtl w:val="0"/>
          <w:lang w:val="zh-TW" w:eastAsia="zh-TW"/>
        </w:rPr>
        <w:t>。</w:t>
      </w:r>
      <w:bookmarkStart w:name="_e6rwpzp6xt44" w:id="5"/>
      <w:bookmarkEnd w:id="5"/>
    </w:p>
    <w:p>
      <w:pPr>
        <w:pStyle w:val="heading 2"/>
        <w:keepNext w:val="0"/>
        <w:keepLines w:val="0"/>
        <w:spacing w:after="0" w:line="440" w:lineRule="exact"/>
        <w:rPr>
          <w:rFonts w:ascii="標楷體" w:cs="標楷體" w:hAnsi="標楷體" w:eastAsia="標楷體"/>
          <w:sz w:val="36"/>
          <w:szCs w:val="36"/>
          <w:lang w:val="zh-TW" w:eastAsia="zh-TW"/>
        </w:rPr>
      </w:pPr>
      <w:r>
        <w:rPr>
          <w:rFonts w:eastAsia="標楷體" w:hint="eastAsia"/>
          <w:sz w:val="36"/>
          <w:szCs w:val="36"/>
          <w:rtl w:val="0"/>
          <w:lang w:val="zh-TW" w:eastAsia="zh-TW"/>
        </w:rPr>
        <w:t>十、智慧財產權與授權</w:t>
      </w:r>
    </w:p>
    <w:p>
      <w:pPr>
        <w:pStyle w:val="Normal.0"/>
        <w:spacing w:line="480" w:lineRule="exact"/>
      </w:pPr>
      <w:r>
        <w:rPr>
          <w:rFonts w:eastAsia="標楷體" w:hint="eastAsia"/>
          <w:sz w:val="28"/>
          <w:szCs w:val="28"/>
          <w:rtl w:val="0"/>
          <w:lang w:val="zh-TW" w:eastAsia="zh-TW"/>
        </w:rPr>
        <w:t>參賽單位同意將參賽產品之形象（包含</w:t>
      </w:r>
      <w:r>
        <w:rPr>
          <w:rFonts w:ascii="標楷體" w:hAnsi="標楷體"/>
          <w:sz w:val="28"/>
          <w:szCs w:val="28"/>
          <w:rtl w:val="0"/>
          <w:lang w:val="en-US"/>
        </w:rPr>
        <w:t>:</w:t>
      </w:r>
      <w:r>
        <w:rPr>
          <w:rFonts w:eastAsia="標楷體" w:hint="eastAsia"/>
          <w:sz w:val="28"/>
          <w:szCs w:val="28"/>
          <w:rtl w:val="0"/>
          <w:lang w:val="zh-TW" w:eastAsia="zh-TW"/>
        </w:rPr>
        <w:t>外觀照片、簡介及非核心技術之宣傳影片）無條件授權予指導單位及主辦單位。授權範圍僅限於本計畫相關之公益推廣、成果發表論壇、文宣及網頁展示使用，授權期間為永久。</w:t>
      </w:r>
    </w:p>
    <w:p>
      <w:pPr>
        <w:pStyle w:val="heading 2"/>
        <w:keepNext w:val="0"/>
        <w:keepLines w:val="0"/>
        <w:spacing w:after="0" w:line="440" w:lineRule="exact"/>
        <w:rPr>
          <w:rFonts w:ascii="標楷體" w:cs="標楷體" w:hAnsi="標楷體" w:eastAsia="標楷體"/>
          <w:sz w:val="36"/>
          <w:szCs w:val="36"/>
          <w:lang w:val="zh-TW" w:eastAsia="zh-TW"/>
        </w:rPr>
      </w:pPr>
      <w:r>
        <w:rPr>
          <w:rFonts w:eastAsia="標楷體" w:hint="eastAsia"/>
          <w:sz w:val="36"/>
          <w:szCs w:val="36"/>
          <w:rtl w:val="0"/>
          <w:lang w:val="zh-TW" w:eastAsia="zh-TW"/>
        </w:rPr>
        <w:t>十一、注意事項</w:t>
      </w:r>
    </w:p>
    <w:p>
      <w:pPr>
        <w:pStyle w:val="Normal.0"/>
        <w:spacing w:line="480" w:lineRule="exact"/>
        <w:rPr>
          <w:rFonts w:ascii="標楷體" w:cs="標楷體" w:hAnsi="標楷體" w:eastAsia="標楷體"/>
          <w:sz w:val="28"/>
          <w:szCs w:val="28"/>
        </w:rPr>
      </w:pPr>
      <w:r>
        <w:rPr>
          <w:rFonts w:eastAsia="標楷體" w:hint="eastAsia"/>
          <w:sz w:val="28"/>
          <w:szCs w:val="28"/>
          <w:rtl w:val="0"/>
          <w:lang w:val="zh-TW" w:eastAsia="zh-TW"/>
        </w:rPr>
        <w:t>（一）</w:t>
      </w:r>
      <w:r>
        <w:rPr>
          <w:rFonts w:eastAsia="標楷體" w:hint="eastAsia"/>
          <w:sz w:val="28"/>
          <w:szCs w:val="28"/>
          <w:rtl w:val="0"/>
          <w:lang w:val="zh-TW" w:eastAsia="zh-TW"/>
        </w:rPr>
        <w:t>報名單位於計畫執行期限有下列情事，主辦單位得立即撤銷其獎勵資格，</w:t>
      </w:r>
      <w:r>
        <w:rPr>
          <w:rFonts w:ascii="標楷體" w:cs="標楷體" w:hAnsi="標楷體" w:eastAsia="標楷體"/>
          <w:sz w:val="28"/>
          <w:szCs w:val="28"/>
          <w:rtl w:val="0"/>
          <w:lang w:val="en-US"/>
        </w:rPr>
        <w:tab/>
        <w:t xml:space="preserve"> </w:t>
      </w:r>
      <w:r>
        <w:rPr>
          <w:rFonts w:eastAsia="標楷體" w:hint="eastAsia"/>
          <w:sz w:val="28"/>
          <w:szCs w:val="28"/>
          <w:rtl w:val="0"/>
          <w:lang w:val="zh-TW" w:eastAsia="zh-TW"/>
        </w:rPr>
        <w:t>並對外公告業者名稱及不良事蹟：</w:t>
      </w:r>
    </w:p>
    <w:p>
      <w:pPr>
        <w:pStyle w:val="Normal.0"/>
        <w:spacing w:line="480" w:lineRule="exact"/>
        <w:ind w:left="849" w:firstLine="1"/>
        <w:rPr>
          <w:rFonts w:ascii="標楷體" w:cs="標楷體" w:hAnsi="標楷體" w:eastAsia="標楷體"/>
          <w:sz w:val="28"/>
          <w:szCs w:val="28"/>
        </w:rPr>
      </w:pPr>
      <w:r>
        <w:rPr>
          <w:rFonts w:ascii="標楷體" w:hAnsi="標楷體"/>
          <w:sz w:val="28"/>
          <w:szCs w:val="28"/>
          <w:rtl w:val="0"/>
          <w:lang w:val="en-US"/>
        </w:rPr>
        <w:t>1</w:t>
      </w:r>
      <w:r>
        <w:rPr>
          <w:rFonts w:eastAsia="標楷體" w:hint="eastAsia"/>
          <w:sz w:val="28"/>
          <w:szCs w:val="28"/>
          <w:rtl w:val="0"/>
          <w:lang w:val="zh-TW" w:eastAsia="zh-TW"/>
        </w:rPr>
        <w:t>、於執行本計畫期間發生重大食安事件，或產品標示及宣稱未符食品安全衛生管理法相關規定者。</w:t>
      </w:r>
    </w:p>
    <w:p>
      <w:pPr>
        <w:pStyle w:val="Normal.0"/>
        <w:spacing w:line="480" w:lineRule="exact"/>
        <w:ind w:left="849" w:firstLine="1"/>
        <w:rPr>
          <w:rFonts w:ascii="標楷體" w:cs="標楷體" w:hAnsi="標楷體" w:eastAsia="標楷體"/>
          <w:sz w:val="28"/>
          <w:szCs w:val="28"/>
        </w:rPr>
      </w:pPr>
      <w:r>
        <w:rPr>
          <w:rFonts w:ascii="標楷體" w:hAnsi="標楷體"/>
          <w:sz w:val="28"/>
          <w:szCs w:val="28"/>
          <w:rtl w:val="0"/>
          <w:lang w:val="en-US"/>
        </w:rPr>
        <w:t>2</w:t>
      </w:r>
      <w:r>
        <w:rPr>
          <w:rFonts w:eastAsia="標楷體" w:hint="eastAsia"/>
          <w:sz w:val="28"/>
          <w:szCs w:val="28"/>
          <w:rtl w:val="0"/>
          <w:lang w:val="zh-TW" w:eastAsia="zh-TW"/>
        </w:rPr>
        <w:t>、誇大或不當引用本活動之成果</w:t>
      </w:r>
      <w:r>
        <w:rPr>
          <w:rFonts w:ascii="標楷體" w:hAnsi="標楷體"/>
          <w:sz w:val="28"/>
          <w:szCs w:val="28"/>
          <w:rtl w:val="0"/>
          <w:lang w:val="en-US"/>
        </w:rPr>
        <w:t>/</w:t>
      </w:r>
      <w:r>
        <w:rPr>
          <w:rFonts w:eastAsia="標楷體" w:hint="eastAsia"/>
          <w:sz w:val="28"/>
          <w:szCs w:val="28"/>
          <w:rtl w:val="0"/>
          <w:lang w:val="zh-TW" w:eastAsia="zh-TW"/>
        </w:rPr>
        <w:t>成績，致第三人或相關大眾誤認為農業部保證本活動之執行成果或所製造產品之品質與功能。</w:t>
      </w:r>
    </w:p>
    <w:p>
      <w:pPr>
        <w:pStyle w:val="Normal.0"/>
        <w:spacing w:line="440" w:lineRule="exact"/>
        <w:ind w:left="849" w:firstLine="1"/>
        <w:rPr>
          <w:rFonts w:ascii="標楷體" w:cs="標楷體" w:hAnsi="標楷體" w:eastAsia="標楷體"/>
          <w:sz w:val="28"/>
          <w:szCs w:val="28"/>
        </w:rPr>
      </w:pPr>
      <w:r>
        <w:rPr>
          <w:rFonts w:ascii="標楷體" w:hAnsi="標楷體"/>
          <w:sz w:val="28"/>
          <w:szCs w:val="28"/>
          <w:rtl w:val="0"/>
          <w:lang w:val="en-US"/>
        </w:rPr>
        <w:t>3</w:t>
      </w:r>
      <w:r>
        <w:rPr>
          <w:rFonts w:eastAsia="標楷體" w:hint="eastAsia"/>
          <w:sz w:val="28"/>
          <w:szCs w:val="28"/>
          <w:rtl w:val="0"/>
          <w:lang w:val="zh-TW" w:eastAsia="zh-TW"/>
        </w:rPr>
        <w:t>、單位提供及填報之各項資料，未與業者現況及事實相符。</w:t>
      </w:r>
    </w:p>
    <w:p>
      <w:pPr>
        <w:pStyle w:val="Normal.0"/>
        <w:spacing w:line="440" w:lineRule="exact"/>
        <w:ind w:left="849" w:firstLine="1"/>
        <w:rPr>
          <w:rFonts w:ascii="標楷體" w:cs="標楷體" w:hAnsi="標楷體" w:eastAsia="標楷體"/>
          <w:sz w:val="28"/>
          <w:szCs w:val="28"/>
        </w:rPr>
      </w:pPr>
      <w:r>
        <w:rPr>
          <w:rFonts w:ascii="標楷體" w:hAnsi="標楷體"/>
          <w:sz w:val="28"/>
          <w:szCs w:val="28"/>
          <w:rtl w:val="0"/>
          <w:lang w:val="en-US"/>
        </w:rPr>
        <w:t>4</w:t>
      </w:r>
      <w:r>
        <w:rPr>
          <w:rFonts w:eastAsia="標楷體" w:hint="eastAsia"/>
          <w:sz w:val="28"/>
          <w:szCs w:val="28"/>
          <w:rtl w:val="0"/>
          <w:lang w:val="zh-TW" w:eastAsia="zh-TW"/>
        </w:rPr>
        <w:t>、侵害他人專利權、著作權、商標權或營業秘密等相關智慧財產權，經法院判決確定或經人檢舉後查證屬實者。</w:t>
      </w:r>
    </w:p>
    <w:p>
      <w:pPr>
        <w:pStyle w:val="Normal.0"/>
        <w:spacing w:line="440" w:lineRule="exact"/>
        <w:rPr>
          <w:rFonts w:ascii="標楷體" w:cs="標楷體" w:hAnsi="標楷體" w:eastAsia="標楷體"/>
          <w:sz w:val="28"/>
          <w:szCs w:val="28"/>
          <w:lang w:val="zh-TW" w:eastAsia="zh-TW"/>
        </w:rPr>
      </w:pPr>
      <w:r>
        <w:rPr>
          <w:rFonts w:eastAsia="標楷體" w:hint="eastAsia"/>
          <w:sz w:val="28"/>
          <w:szCs w:val="28"/>
          <w:rtl w:val="0"/>
          <w:lang w:val="zh-TW" w:eastAsia="zh-TW"/>
        </w:rPr>
        <w:t>（二）</w:t>
      </w:r>
      <w:r>
        <w:rPr>
          <w:rFonts w:eastAsia="標楷體" w:hint="eastAsia"/>
          <w:sz w:val="28"/>
          <w:szCs w:val="28"/>
          <w:rtl w:val="0"/>
          <w:lang w:val="zh-TW" w:eastAsia="zh-TW"/>
        </w:rPr>
        <w:t>所提送之所有資料，列為存檔備查資料，不予退還。</w:t>
      </w:r>
    </w:p>
    <w:p>
      <w:pPr>
        <w:pStyle w:val="Normal.0"/>
        <w:spacing w:line="440" w:lineRule="exact"/>
        <w:rPr>
          <w:rFonts w:ascii="標楷體" w:cs="標楷體" w:hAnsi="標楷體" w:eastAsia="標楷體"/>
        </w:rPr>
      </w:pPr>
      <w:r>
        <w:rPr>
          <w:rFonts w:eastAsia="標楷體" w:hint="eastAsia"/>
          <w:sz w:val="28"/>
          <w:szCs w:val="28"/>
          <w:rtl w:val="0"/>
          <w:lang w:val="zh-TW" w:eastAsia="zh-TW"/>
        </w:rPr>
        <w:t>（三）</w:t>
      </w:r>
      <w:r>
        <w:rPr>
          <w:rFonts w:eastAsia="標楷體" w:hint="eastAsia"/>
          <w:sz w:val="28"/>
          <w:szCs w:val="28"/>
          <w:rtl w:val="0"/>
          <w:lang w:val="zh-TW" w:eastAsia="zh-TW"/>
        </w:rPr>
        <w:t>主辦單位保有最終修改、變更、活動解釋及取消本活動之權利，若有相關</w:t>
      </w:r>
      <w:r>
        <w:rPr>
          <w:rFonts w:ascii="標楷體" w:cs="標楷體" w:hAnsi="標楷體" w:eastAsia="標楷體"/>
          <w:sz w:val="28"/>
          <w:szCs w:val="28"/>
          <w:rtl w:val="0"/>
          <w:lang w:val="en-US"/>
        </w:rPr>
        <w:tab/>
        <w:t xml:space="preserve"> </w:t>
      </w:r>
      <w:r>
        <w:rPr>
          <w:rFonts w:eastAsia="標楷體" w:hint="eastAsia"/>
          <w:sz w:val="28"/>
          <w:szCs w:val="28"/>
          <w:rtl w:val="0"/>
          <w:lang w:val="zh-TW" w:eastAsia="zh-TW"/>
        </w:rPr>
        <w:t>異動將會公告於臺灣起司專門協會網站，恕不另行通知。</w:t>
      </w:r>
    </w:p>
    <w:p>
      <w:pPr>
        <w:pStyle w:val="heading 2"/>
        <w:keepNext w:val="0"/>
        <w:keepLines w:val="0"/>
        <w:spacing w:after="0" w:line="440" w:lineRule="exact"/>
        <w:rPr>
          <w:rFonts w:ascii="標楷體" w:cs="標楷體" w:hAnsi="標楷體" w:eastAsia="標楷體"/>
          <w:sz w:val="36"/>
          <w:szCs w:val="36"/>
          <w:lang w:val="zh-TW" w:eastAsia="zh-TW"/>
        </w:rPr>
      </w:pPr>
      <w:r>
        <w:rPr>
          <w:rFonts w:eastAsia="標楷體" w:hint="eastAsia"/>
          <w:sz w:val="36"/>
          <w:szCs w:val="36"/>
          <w:rtl w:val="0"/>
          <w:lang w:val="zh-TW" w:eastAsia="zh-TW"/>
        </w:rPr>
        <w:t>十二、報名方式與聯絡資訊</w:t>
      </w:r>
    </w:p>
    <w:p>
      <w:pPr>
        <w:pStyle w:val="Normal.0"/>
        <w:spacing w:line="480" w:lineRule="exact"/>
        <w:rPr>
          <w:rFonts w:ascii="標楷體" w:cs="標楷體" w:hAnsi="標楷體" w:eastAsia="標楷體"/>
          <w:sz w:val="28"/>
          <w:szCs w:val="28"/>
          <w:lang w:val="zh-TW" w:eastAsia="zh-TW"/>
        </w:rPr>
      </w:pPr>
      <w:r>
        <w:rPr>
          <w:rFonts w:eastAsia="標楷體" w:hint="eastAsia"/>
          <w:sz w:val="28"/>
          <w:szCs w:val="28"/>
          <w:rtl w:val="0"/>
          <w:lang w:val="zh-TW" w:eastAsia="zh-TW"/>
        </w:rPr>
        <w:t>收件單位：臺灣起司專門協會 秘書處</w:t>
      </w:r>
    </w:p>
    <w:p>
      <w:pPr>
        <w:pStyle w:val="Normal.0"/>
        <w:spacing w:line="480" w:lineRule="exact"/>
        <w:rPr>
          <w:rFonts w:ascii="標楷體" w:cs="標楷體" w:hAnsi="標楷體" w:eastAsia="標楷體"/>
          <w:sz w:val="28"/>
          <w:szCs w:val="28"/>
        </w:rPr>
      </w:pPr>
      <w:r>
        <w:rPr>
          <w:rFonts w:eastAsia="標楷體" w:hint="eastAsia"/>
          <w:sz w:val="28"/>
          <w:szCs w:val="28"/>
          <w:rtl w:val="0"/>
          <w:lang w:val="zh-TW" w:eastAsia="zh-TW"/>
        </w:rPr>
        <w:t>地址：</w:t>
      </w:r>
      <w:r>
        <w:rPr>
          <w:rFonts w:ascii="標楷體" w:hAnsi="標楷體"/>
          <w:sz w:val="28"/>
          <w:szCs w:val="28"/>
          <w:rtl w:val="0"/>
          <w:lang w:val="en-US"/>
        </w:rPr>
        <w:t>241</w:t>
      </w:r>
      <w:r>
        <w:rPr>
          <w:rFonts w:eastAsia="標楷體" w:hint="eastAsia"/>
          <w:sz w:val="28"/>
          <w:szCs w:val="28"/>
          <w:rtl w:val="0"/>
          <w:lang w:val="zh-TW" w:eastAsia="zh-TW"/>
        </w:rPr>
        <w:t>新北市三重區中興北街</w:t>
      </w:r>
      <w:r>
        <w:rPr>
          <w:rFonts w:ascii="標楷體" w:hAnsi="標楷體"/>
          <w:sz w:val="28"/>
          <w:szCs w:val="28"/>
          <w:rtl w:val="0"/>
          <w:lang w:val="en-US"/>
        </w:rPr>
        <w:t>50</w:t>
      </w:r>
      <w:r>
        <w:rPr>
          <w:rFonts w:eastAsia="標楷體" w:hint="eastAsia"/>
          <w:sz w:val="28"/>
          <w:szCs w:val="28"/>
          <w:rtl w:val="0"/>
          <w:lang w:val="zh-TW" w:eastAsia="zh-TW"/>
        </w:rPr>
        <w:t>之</w:t>
      </w:r>
      <w:r>
        <w:rPr>
          <w:rFonts w:ascii="標楷體" w:hAnsi="標楷體"/>
          <w:sz w:val="28"/>
          <w:szCs w:val="28"/>
          <w:rtl w:val="0"/>
          <w:lang w:val="en-US"/>
        </w:rPr>
        <w:t>1</w:t>
      </w:r>
      <w:r>
        <w:rPr>
          <w:rFonts w:eastAsia="標楷體" w:hint="eastAsia"/>
          <w:sz w:val="28"/>
          <w:szCs w:val="28"/>
          <w:rtl w:val="0"/>
          <w:lang w:val="zh-TW" w:eastAsia="zh-TW"/>
        </w:rPr>
        <w:t>號</w:t>
      </w:r>
      <w:r>
        <w:rPr>
          <w:rFonts w:ascii="標楷體" w:hAnsi="標楷體"/>
          <w:sz w:val="28"/>
          <w:szCs w:val="28"/>
          <w:rtl w:val="0"/>
          <w:lang w:val="en-US"/>
        </w:rPr>
        <w:t>4</w:t>
      </w:r>
      <w:r>
        <w:rPr>
          <w:rFonts w:eastAsia="標楷體" w:hint="eastAsia"/>
          <w:sz w:val="28"/>
          <w:szCs w:val="28"/>
          <w:rtl w:val="0"/>
          <w:lang w:val="zh-TW" w:eastAsia="zh-TW"/>
        </w:rPr>
        <w:t>樓</w:t>
      </w:r>
    </w:p>
    <w:p>
      <w:pPr>
        <w:pStyle w:val="Normal.0"/>
        <w:spacing w:line="480" w:lineRule="exact"/>
        <w:rPr>
          <w:rFonts w:ascii="標楷體" w:cs="標楷體" w:hAnsi="標楷體" w:eastAsia="標楷體"/>
          <w:sz w:val="28"/>
          <w:szCs w:val="28"/>
        </w:rPr>
      </w:pPr>
      <w:r>
        <w:rPr>
          <w:rFonts w:eastAsia="標楷體" w:hint="eastAsia"/>
          <w:sz w:val="28"/>
          <w:szCs w:val="28"/>
          <w:rtl w:val="0"/>
          <w:lang w:val="zh-TW" w:eastAsia="zh-TW"/>
        </w:rPr>
        <w:t>電話：</w:t>
      </w:r>
      <w:r>
        <w:rPr>
          <w:rFonts w:ascii="標楷體" w:hAnsi="標楷體"/>
          <w:sz w:val="28"/>
          <w:szCs w:val="28"/>
          <w:rtl w:val="0"/>
          <w:lang w:val="en-US"/>
        </w:rPr>
        <w:t xml:space="preserve">(02)8512-1374    </w:t>
      </w:r>
    </w:p>
    <w:p>
      <w:pPr>
        <w:pStyle w:val="Normal.0"/>
        <w:spacing w:line="480" w:lineRule="exact"/>
        <w:rPr>
          <w:rFonts w:ascii="標楷體" w:cs="標楷體" w:hAnsi="標楷體" w:eastAsia="標楷體"/>
          <w:sz w:val="28"/>
          <w:szCs w:val="28"/>
        </w:rPr>
      </w:pPr>
      <w:r>
        <w:rPr>
          <w:rFonts w:eastAsia="標楷體" w:hint="eastAsia"/>
          <w:sz w:val="28"/>
          <w:szCs w:val="28"/>
          <w:rtl w:val="0"/>
          <w:lang w:val="zh-TW" w:eastAsia="zh-TW"/>
        </w:rPr>
        <w:t>電子信箱：</w:t>
      </w:r>
      <w:r>
        <w:rPr>
          <w:rFonts w:ascii="標楷體" w:hAnsi="標楷體"/>
          <w:sz w:val="28"/>
          <w:szCs w:val="28"/>
          <w:rtl w:val="0"/>
          <w:lang w:val="en-US"/>
        </w:rPr>
        <w:t>tcpa20250102@gmail.com</w:t>
      </w:r>
    </w:p>
    <w:p>
      <w:pPr>
        <w:pStyle w:val="Normal.0"/>
        <w:spacing w:line="480" w:lineRule="exact"/>
        <w:rPr>
          <w:lang w:val="zh-TW" w:eastAsia="zh-TW"/>
        </w:rPr>
      </w:pPr>
      <w:r>
        <w:rPr>
          <w:rFonts w:eastAsia="標楷體" w:hint="eastAsia"/>
          <w:sz w:val="28"/>
          <w:szCs w:val="28"/>
          <w:rtl w:val="0"/>
          <w:lang w:val="zh-TW" w:eastAsia="zh-TW"/>
        </w:rPr>
        <w:t>收件方式：紙本掛號或電子檔案寄送（依公告說明）</w:t>
      </w:r>
    </w:p>
    <w:p>
      <w:pPr>
        <w:pStyle w:val="heading 2"/>
        <w:keepNext w:val="0"/>
        <w:keepLines w:val="0"/>
        <w:spacing w:after="0" w:line="480" w:lineRule="exact"/>
      </w:pPr>
      <w:r>
        <w:rPr>
          <w:rFonts w:eastAsia="標楷體" w:hint="eastAsia"/>
          <w:sz w:val="36"/>
          <w:szCs w:val="36"/>
          <w:rtl w:val="0"/>
          <w:lang w:val="zh-TW" w:eastAsia="zh-TW"/>
        </w:rPr>
        <w:t>十三、</w:t>
      </w:r>
      <w:r>
        <w:rPr>
          <w:rFonts w:eastAsia="標楷體" w:hint="eastAsia"/>
          <w:sz w:val="28"/>
          <w:szCs w:val="28"/>
          <w:rtl w:val="0"/>
          <w:lang w:val="zh-TW" w:eastAsia="zh-TW"/>
        </w:rPr>
        <w:t>主辦單位保有修改本要點及活動內容之權利，惟修改後將週知所有參與活動者。本獎勵遴選要點如有未盡事宜，另以公文補充修正。</w:t>
      </w:r>
    </w:p>
    <w:sectPr>
      <w:headerReference w:type="default" r:id="rId4"/>
      <w:footerReference w:type="default" r:id="rId5"/>
      <w:pgSz w:w="11900" w:h="16840" w:orient="portrait"/>
      <w:pgMar w:top="1021" w:right="1021" w:bottom="851" w:left="1021" w:header="964" w:footer="34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標楷體">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xmlns:a="http://schemas.openxmlformats.org/drawingml/2006/main">
        <wp:anchor distT="152400" distB="152400" distL="152400" distR="152400" simplePos="0" relativeHeight="251658240" behindDoc="1" locked="0" layoutInCell="1" allowOverlap="1">
          <wp:simplePos x="0" y="0"/>
          <wp:positionH relativeFrom="page">
            <wp:posOffset>372124</wp:posOffset>
          </wp:positionH>
          <wp:positionV relativeFrom="page">
            <wp:posOffset>124534</wp:posOffset>
          </wp:positionV>
          <wp:extent cx="2510790" cy="637541"/>
          <wp:effectExtent l="0" t="0" r="0" b="0"/>
          <wp:wrapNone/>
          <wp:docPr id="1073741825" name="officeArt object" descr="圖片 6"/>
          <wp:cNvGraphicFramePr/>
          <a:graphic xmlns:a="http://schemas.openxmlformats.org/drawingml/2006/main">
            <a:graphicData uri="http://schemas.openxmlformats.org/drawingml/2006/picture">
              <pic:pic xmlns:pic="http://schemas.openxmlformats.org/drawingml/2006/picture">
                <pic:nvPicPr>
                  <pic:cNvPr id="1073741825" name="圖片 6" descr="圖片 6"/>
                  <pic:cNvPicPr>
                    <a:picLocks noChangeAspect="1"/>
                  </pic:cNvPicPr>
                </pic:nvPicPr>
                <pic:blipFill>
                  <a:blip r:embed="rId1">
                    <a:extLst/>
                  </a:blip>
                  <a:stretch>
                    <a:fillRect/>
                  </a:stretch>
                </pic:blipFill>
                <pic:spPr>
                  <a:xfrm>
                    <a:off x="0" y="0"/>
                    <a:ext cx="2510790" cy="637541"/>
                  </a:xfrm>
                  <a:prstGeom prst="rect">
                    <a:avLst/>
                  </a:prstGeom>
                  <a:ln w="12700" cap="flat">
                    <a:noFill/>
                    <a:miter lim="400000"/>
                  </a:ln>
                  <a:effectLst/>
                </pic:spPr>
              </pic:pic>
            </a:graphicData>
          </a:graphic>
        </wp:anchor>
      </w:drawing>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已輸入樣式 1"/>
  </w:abstractNum>
  <w:abstractNum w:abstractNumId="1">
    <w:multiLevelType w:val="hybridMultilevel"/>
    <w:styleLink w:val="已輸入樣式 1"/>
    <w:lvl w:ilvl="0">
      <w:start w:val="1"/>
      <w:numFmt w:val="bullet"/>
      <w:suff w:val="tab"/>
      <w:lvlText w:val="●"/>
      <w:lvlJc w:val="left"/>
      <w:pPr>
        <w:ind w:left="81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1">
      <w:start w:val="1"/>
      <w:numFmt w:val="bullet"/>
      <w:suff w:val="tab"/>
      <w:lvlText w:val="■"/>
      <w:lvlJc w:val="left"/>
      <w:pPr>
        <w:ind w:left="129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2">
      <w:start w:val="1"/>
      <w:numFmt w:val="bullet"/>
      <w:suff w:val="tab"/>
      <w:lvlText w:val="◆"/>
      <w:lvlJc w:val="left"/>
      <w:pPr>
        <w:ind w:left="177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3">
      <w:start w:val="1"/>
      <w:numFmt w:val="bullet"/>
      <w:suff w:val="tab"/>
      <w:lvlText w:val="●"/>
      <w:lvlJc w:val="left"/>
      <w:pPr>
        <w:ind w:left="225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4">
      <w:start w:val="1"/>
      <w:numFmt w:val="bullet"/>
      <w:suff w:val="tab"/>
      <w:lvlText w:val="■"/>
      <w:lvlJc w:val="left"/>
      <w:pPr>
        <w:ind w:left="273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5">
      <w:start w:val="1"/>
      <w:numFmt w:val="bullet"/>
      <w:suff w:val="tab"/>
      <w:lvlText w:val="◆"/>
      <w:lvlJc w:val="left"/>
      <w:pPr>
        <w:ind w:left="321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6">
      <w:start w:val="1"/>
      <w:numFmt w:val="bullet"/>
      <w:suff w:val="tab"/>
      <w:lvlText w:val="●"/>
      <w:lvlJc w:val="left"/>
      <w:pPr>
        <w:ind w:left="369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7">
      <w:start w:val="1"/>
      <w:numFmt w:val="bullet"/>
      <w:suff w:val="tab"/>
      <w:lvlText w:val="■"/>
      <w:lvlJc w:val="left"/>
      <w:pPr>
        <w:ind w:left="417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8">
      <w:start w:val="1"/>
      <w:numFmt w:val="bullet"/>
      <w:suff w:val="tab"/>
      <w:lvlText w:val="◆"/>
      <w:lvlJc w:val="left"/>
      <w:pPr>
        <w:ind w:left="4654" w:hanging="25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abstractNum>
  <w:abstractNum w:abstractNumId="2">
    <w:multiLevelType w:val="hybridMultilevel"/>
    <w:numStyleLink w:val="已輸入樣式 2"/>
  </w:abstractNum>
  <w:abstractNum w:abstractNumId="3">
    <w:multiLevelType w:val="hybridMultilevel"/>
    <w:styleLink w:val="已輸入樣式 2"/>
    <w:lvl w:ilvl="0">
      <w:start w:val="1"/>
      <w:numFmt w:val="bullet"/>
      <w:suff w:val="tab"/>
      <w:lvlText w:val="●"/>
      <w:lvlJc w:val="left"/>
      <w:pPr>
        <w:ind w:left="952" w:hanging="291"/>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1">
      <w:start w:val="1"/>
      <w:numFmt w:val="bullet"/>
      <w:suff w:val="tab"/>
      <w:lvlText w:val="■"/>
      <w:lvlJc w:val="left"/>
      <w:pPr>
        <w:ind w:left="1432" w:hanging="290"/>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2">
      <w:start w:val="1"/>
      <w:numFmt w:val="bullet"/>
      <w:suff w:val="tab"/>
      <w:lvlText w:val="◆"/>
      <w:lvlJc w:val="left"/>
      <w:pPr>
        <w:ind w:left="1912" w:hanging="291"/>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3">
      <w:start w:val="1"/>
      <w:numFmt w:val="bullet"/>
      <w:suff w:val="tab"/>
      <w:lvlText w:val="●"/>
      <w:lvlJc w:val="left"/>
      <w:pPr>
        <w:ind w:left="2392" w:hanging="291"/>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4">
      <w:start w:val="1"/>
      <w:numFmt w:val="bullet"/>
      <w:suff w:val="tab"/>
      <w:lvlText w:val="■"/>
      <w:lvlJc w:val="left"/>
      <w:pPr>
        <w:ind w:left="2872" w:hanging="290"/>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5">
      <w:start w:val="1"/>
      <w:numFmt w:val="bullet"/>
      <w:suff w:val="tab"/>
      <w:lvlText w:val="◆"/>
      <w:lvlJc w:val="left"/>
      <w:pPr>
        <w:ind w:left="3352" w:hanging="290"/>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6">
      <w:start w:val="1"/>
      <w:numFmt w:val="bullet"/>
      <w:suff w:val="tab"/>
      <w:lvlText w:val="●"/>
      <w:lvlJc w:val="left"/>
      <w:pPr>
        <w:ind w:left="3832" w:hanging="290"/>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7">
      <w:start w:val="1"/>
      <w:numFmt w:val="bullet"/>
      <w:suff w:val="tab"/>
      <w:lvlText w:val="■"/>
      <w:lvlJc w:val="left"/>
      <w:pPr>
        <w:ind w:left="4312" w:hanging="290"/>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lvl w:ilvl="8">
      <w:start w:val="1"/>
      <w:numFmt w:val="bullet"/>
      <w:suff w:val="tab"/>
      <w:lvlText w:val="◆"/>
      <w:lvlJc w:val="left"/>
      <w:pPr>
        <w:ind w:left="4792" w:hanging="290"/>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sz w:val="28"/>
        <w:szCs w:val="28"/>
        <w:highlight w:val="none"/>
        <w:vertAlign w:val="baseline"/>
      </w:rPr>
    </w:lvl>
  </w:abstractNum>
  <w:abstractNum w:abstractNumId="4">
    <w:multiLevelType w:val="hybridMultilevel"/>
    <w:numStyleLink w:val="已輸入樣式 3"/>
  </w:abstractNum>
  <w:abstractNum w:abstractNumId="5">
    <w:multiLevelType w:val="hybridMultilevel"/>
    <w:styleLink w:val="已輸入樣式 3"/>
    <w:lvl w:ilvl="0">
      <w:start w:val="1"/>
      <w:numFmt w:val="bullet"/>
      <w:suff w:val="tab"/>
      <w:lvlText w:val="●"/>
      <w:lvlJc w:val="left"/>
      <w:pPr>
        <w:ind w:left="104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1">
      <w:start w:val="1"/>
      <w:numFmt w:val="bullet"/>
      <w:suff w:val="tab"/>
      <w:lvlText w:val="■"/>
      <w:lvlJc w:val="left"/>
      <w:pPr>
        <w:ind w:left="96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2">
      <w:start w:val="1"/>
      <w:numFmt w:val="bullet"/>
      <w:suff w:val="tab"/>
      <w:lvlText w:val="◆"/>
      <w:lvlJc w:val="left"/>
      <w:pPr>
        <w:ind w:left="144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3">
      <w:start w:val="1"/>
      <w:numFmt w:val="bullet"/>
      <w:suff w:val="tab"/>
      <w:lvlText w:val="●"/>
      <w:lvlJc w:val="left"/>
      <w:pPr>
        <w:ind w:left="192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4">
      <w:start w:val="1"/>
      <w:numFmt w:val="bullet"/>
      <w:suff w:val="tab"/>
      <w:lvlText w:val="■"/>
      <w:lvlJc w:val="left"/>
      <w:pPr>
        <w:ind w:left="240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5">
      <w:start w:val="1"/>
      <w:numFmt w:val="bullet"/>
      <w:suff w:val="tab"/>
      <w:lvlText w:val="◆"/>
      <w:lvlJc w:val="left"/>
      <w:pPr>
        <w:ind w:left="288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6">
      <w:start w:val="1"/>
      <w:numFmt w:val="bullet"/>
      <w:suff w:val="tab"/>
      <w:lvlText w:val="●"/>
      <w:lvlJc w:val="left"/>
      <w:pPr>
        <w:ind w:left="336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7">
      <w:start w:val="1"/>
      <w:numFmt w:val="bullet"/>
      <w:suff w:val="tab"/>
      <w:lvlText w:val="■"/>
      <w:lvlJc w:val="left"/>
      <w:pPr>
        <w:ind w:left="384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8">
      <w:start w:val="1"/>
      <w:numFmt w:val="bullet"/>
      <w:suff w:val="tab"/>
      <w:lvlText w:val="◆"/>
      <w:lvlJc w:val="left"/>
      <w:pPr>
        <w:ind w:left="4320"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abstractNum>
  <w:abstractNum w:abstractNumId="6">
    <w:multiLevelType w:val="hybridMultilevel"/>
    <w:numStyleLink w:val="已輸入樣式 4"/>
  </w:abstractNum>
  <w:abstractNum w:abstractNumId="7">
    <w:multiLevelType w:val="hybridMultilevel"/>
    <w:styleLink w:val="已輸入樣式 4"/>
    <w:lvl w:ilvl="0">
      <w:start w:val="1"/>
      <w:numFmt w:val="bullet"/>
      <w:suff w:val="tab"/>
      <w:lvlText w:val="●"/>
      <w:lvlJc w:val="left"/>
      <w:pPr>
        <w:ind w:left="104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1">
      <w:start w:val="1"/>
      <w:numFmt w:val="bullet"/>
      <w:suff w:val="tab"/>
      <w:lvlText w:val="■"/>
      <w:lvlJc w:val="left"/>
      <w:pPr>
        <w:ind w:left="152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2">
      <w:start w:val="1"/>
      <w:numFmt w:val="bullet"/>
      <w:suff w:val="tab"/>
      <w:lvlText w:val="◆"/>
      <w:lvlJc w:val="left"/>
      <w:pPr>
        <w:ind w:left="200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3">
      <w:start w:val="1"/>
      <w:numFmt w:val="bullet"/>
      <w:suff w:val="tab"/>
      <w:lvlText w:val="●"/>
      <w:lvlJc w:val="left"/>
      <w:pPr>
        <w:ind w:left="248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4">
      <w:start w:val="1"/>
      <w:numFmt w:val="bullet"/>
      <w:suff w:val="tab"/>
      <w:lvlText w:val="■"/>
      <w:lvlJc w:val="left"/>
      <w:pPr>
        <w:ind w:left="296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5">
      <w:start w:val="1"/>
      <w:numFmt w:val="bullet"/>
      <w:suff w:val="tab"/>
      <w:lvlText w:val="◆"/>
      <w:lvlJc w:val="left"/>
      <w:pPr>
        <w:ind w:left="344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6">
      <w:start w:val="1"/>
      <w:numFmt w:val="bullet"/>
      <w:suff w:val="tab"/>
      <w:lvlText w:val="●"/>
      <w:lvlJc w:val="left"/>
      <w:pPr>
        <w:ind w:left="392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7">
      <w:start w:val="1"/>
      <w:numFmt w:val="bullet"/>
      <w:suff w:val="tab"/>
      <w:lvlText w:val="■"/>
      <w:lvlJc w:val="left"/>
      <w:pPr>
        <w:ind w:left="440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8">
      <w:start w:val="1"/>
      <w:numFmt w:val="bullet"/>
      <w:suff w:val="tab"/>
      <w:lvlText w:val="◆"/>
      <w:lvlJc w:val="left"/>
      <w:pPr>
        <w:ind w:left="488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abstractNum>
  <w:abstractNum w:abstractNumId="8">
    <w:multiLevelType w:val="hybridMultilevel"/>
    <w:numStyleLink w:val="已輸入樣式 5"/>
  </w:abstractNum>
  <w:abstractNum w:abstractNumId="9">
    <w:multiLevelType w:val="hybridMultilevel"/>
    <w:styleLink w:val="已輸入樣式 5"/>
    <w:lvl w:ilvl="0">
      <w:start w:val="1"/>
      <w:numFmt w:val="bullet"/>
      <w:suff w:val="tab"/>
      <w:lvlText w:val="●"/>
      <w:lvlJc w:val="left"/>
      <w:pPr>
        <w:ind w:left="104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1">
      <w:start w:val="1"/>
      <w:numFmt w:val="bullet"/>
      <w:suff w:val="tab"/>
      <w:lvlText w:val="■"/>
      <w:lvlJc w:val="left"/>
      <w:pPr>
        <w:ind w:left="152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2">
      <w:start w:val="1"/>
      <w:numFmt w:val="bullet"/>
      <w:suff w:val="tab"/>
      <w:lvlText w:val="◆"/>
      <w:lvlJc w:val="left"/>
      <w:pPr>
        <w:ind w:left="200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3">
      <w:start w:val="1"/>
      <w:numFmt w:val="bullet"/>
      <w:suff w:val="tab"/>
      <w:lvlText w:val="●"/>
      <w:lvlJc w:val="left"/>
      <w:pPr>
        <w:ind w:left="248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4">
      <w:start w:val="1"/>
      <w:numFmt w:val="bullet"/>
      <w:suff w:val="tab"/>
      <w:lvlText w:val="■"/>
      <w:lvlJc w:val="left"/>
      <w:pPr>
        <w:ind w:left="296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5">
      <w:start w:val="1"/>
      <w:numFmt w:val="bullet"/>
      <w:suff w:val="tab"/>
      <w:lvlText w:val="◆"/>
      <w:lvlJc w:val="left"/>
      <w:pPr>
        <w:ind w:left="344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6">
      <w:start w:val="1"/>
      <w:numFmt w:val="bullet"/>
      <w:suff w:val="tab"/>
      <w:lvlText w:val="●"/>
      <w:lvlJc w:val="left"/>
      <w:pPr>
        <w:ind w:left="392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7">
      <w:start w:val="1"/>
      <w:numFmt w:val="bullet"/>
      <w:suff w:val="tab"/>
      <w:lvlText w:val="■"/>
      <w:lvlJc w:val="left"/>
      <w:pPr>
        <w:ind w:left="440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lvl w:ilvl="8">
      <w:start w:val="1"/>
      <w:numFmt w:val="bullet"/>
      <w:suff w:val="tab"/>
      <w:lvlText w:val="◆"/>
      <w:lvlJc w:val="left"/>
      <w:pPr>
        <w:ind w:left="4886" w:hanging="480"/>
      </w:pPr>
      <w:rPr>
        <w:rFonts w:ascii="Arial Unicode MS" w:cs="Arial Unicode MS" w:hAnsi="Arial Unicode MS" w:eastAsia="Arial Unicode MS"/>
        <w:b w:val="0"/>
        <w:bCs w:val="0"/>
        <w:i w:val="0"/>
        <w:iCs w:val="0"/>
        <w:caps w:val="0"/>
        <w:smallCaps w:val="0"/>
        <w:strike w:val="0"/>
        <w:dstrike w:val="0"/>
        <w:outline w:val="0"/>
        <w:emboss w:val="0"/>
        <w:imprint w:val="0"/>
        <w:color w:val="a6a6a6"/>
        <w:spacing w:val="0"/>
        <w:w w:val="100"/>
        <w:kern w:val="0"/>
        <w:position w:val="0"/>
        <w:highlight w:val="none"/>
        <w:vertAlign w:val="baseline"/>
      </w:rPr>
    </w:lvl>
  </w:abstractNum>
  <w:abstractNum w:abstractNumId="10">
    <w:multiLevelType w:val="hybridMultilevel"/>
    <w:numStyleLink w:val="已輸入樣式 6"/>
  </w:abstractNum>
  <w:abstractNum w:abstractNumId="11">
    <w:multiLevelType w:val="hybridMultilevel"/>
    <w:styleLink w:val="已輸入樣式 6"/>
    <w:lvl w:ilvl="0">
      <w:start w:val="1"/>
      <w:numFmt w:val="bullet"/>
      <w:suff w:val="tab"/>
      <w:lvlText w:val="●"/>
      <w:lvlJc w:val="left"/>
      <w:pPr>
        <w:ind w:left="48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1">
      <w:start w:val="1"/>
      <w:numFmt w:val="bullet"/>
      <w:suff w:val="tab"/>
      <w:lvlText w:val="■"/>
      <w:lvlJc w:val="left"/>
      <w:pPr>
        <w:ind w:left="96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2">
      <w:start w:val="1"/>
      <w:numFmt w:val="bullet"/>
      <w:suff w:val="tab"/>
      <w:lvlText w:val="◆"/>
      <w:lvlJc w:val="left"/>
      <w:pPr>
        <w:ind w:left="144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3">
      <w:start w:val="1"/>
      <w:numFmt w:val="bullet"/>
      <w:suff w:val="tab"/>
      <w:lvlText w:val="●"/>
      <w:lvlJc w:val="left"/>
      <w:pPr>
        <w:ind w:left="192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4">
      <w:start w:val="1"/>
      <w:numFmt w:val="bullet"/>
      <w:suff w:val="tab"/>
      <w:lvlText w:val="■"/>
      <w:lvlJc w:val="left"/>
      <w:pPr>
        <w:ind w:left="240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5">
      <w:start w:val="1"/>
      <w:numFmt w:val="bullet"/>
      <w:suff w:val="tab"/>
      <w:lvlText w:val="◆"/>
      <w:lvlJc w:val="left"/>
      <w:pPr>
        <w:ind w:left="288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6">
      <w:start w:val="1"/>
      <w:numFmt w:val="bullet"/>
      <w:suff w:val="tab"/>
      <w:lvlText w:val="●"/>
      <w:lvlJc w:val="left"/>
      <w:pPr>
        <w:ind w:left="336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7">
      <w:start w:val="1"/>
      <w:numFmt w:val="bullet"/>
      <w:suff w:val="tab"/>
      <w:lvlText w:val="■"/>
      <w:lvlJc w:val="left"/>
      <w:pPr>
        <w:ind w:left="384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8">
      <w:start w:val="1"/>
      <w:numFmt w:val="bullet"/>
      <w:suff w:val="tab"/>
      <w:lvlText w:val="◆"/>
      <w:lvlJc w:val="left"/>
      <w:pPr>
        <w:ind w:left="4320" w:hanging="338"/>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abstractNum>
  <w:abstractNum w:abstractNumId="12">
    <w:multiLevelType w:val="hybridMultilevel"/>
    <w:numStyleLink w:val="已輸入樣式 7"/>
  </w:abstractNum>
  <w:abstractNum w:abstractNumId="13">
    <w:multiLevelType w:val="hybridMultilevel"/>
    <w:styleLink w:val="已輸入樣式 7"/>
    <w:lvl w:ilvl="0">
      <w:start w:val="1"/>
      <w:numFmt w:val="bullet"/>
      <w:suff w:val="tab"/>
      <w:lvlText w:val="●"/>
      <w:lvlJc w:val="left"/>
      <w:pPr>
        <w:ind w:left="42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1">
      <w:start w:val="1"/>
      <w:numFmt w:val="bullet"/>
      <w:suff w:val="tab"/>
      <w:lvlText w:val="■"/>
      <w:lvlJc w:val="left"/>
      <w:pPr>
        <w:ind w:left="90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2">
      <w:start w:val="1"/>
      <w:numFmt w:val="bullet"/>
      <w:suff w:val="tab"/>
      <w:lvlText w:val="◆"/>
      <w:lvlJc w:val="left"/>
      <w:pPr>
        <w:ind w:left="138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3">
      <w:start w:val="1"/>
      <w:numFmt w:val="bullet"/>
      <w:suff w:val="tab"/>
      <w:lvlText w:val="●"/>
      <w:lvlJc w:val="left"/>
      <w:pPr>
        <w:ind w:left="186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4">
      <w:start w:val="1"/>
      <w:numFmt w:val="bullet"/>
      <w:suff w:val="tab"/>
      <w:lvlText w:val="■"/>
      <w:lvlJc w:val="left"/>
      <w:pPr>
        <w:ind w:left="234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5">
      <w:start w:val="1"/>
      <w:numFmt w:val="bullet"/>
      <w:suff w:val="tab"/>
      <w:lvlText w:val="◆"/>
      <w:lvlJc w:val="left"/>
      <w:pPr>
        <w:ind w:left="282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6">
      <w:start w:val="1"/>
      <w:numFmt w:val="bullet"/>
      <w:suff w:val="tab"/>
      <w:lvlText w:val="●"/>
      <w:lvlJc w:val="left"/>
      <w:pPr>
        <w:ind w:left="330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7">
      <w:start w:val="1"/>
      <w:numFmt w:val="bullet"/>
      <w:suff w:val="tab"/>
      <w:lvlText w:val="■"/>
      <w:lvlJc w:val="left"/>
      <w:pPr>
        <w:ind w:left="378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lvl w:ilvl="8">
      <w:start w:val="1"/>
      <w:numFmt w:val="bullet"/>
      <w:suff w:val="tab"/>
      <w:lvlText w:val="◆"/>
      <w:lvlJc w:val="left"/>
      <w:pPr>
        <w:ind w:left="4266" w:hanging="284"/>
      </w:pPr>
      <w:rPr>
        <w:rFonts w:ascii="Arial Unicode MS" w:cs="Arial Unicode MS" w:hAnsi="Arial Unicode MS" w:eastAsia="Arial Unicode MS"/>
        <w:b w:val="0"/>
        <w:bCs w:val="0"/>
        <w:i w:val="0"/>
        <w:iCs w:val="0"/>
        <w:caps w:val="0"/>
        <w:smallCaps w:val="0"/>
        <w:strike w:val="0"/>
        <w:dstrike w:val="0"/>
        <w:outline w:val="0"/>
        <w:emboss w:val="0"/>
        <w:imprint w:val="0"/>
        <w:color w:val="80808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153"/>
        <w:tab w:val="right" w:pos="8306"/>
      </w:tabs>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ing 1">
    <w:name w:val="heading 1"/>
    <w:next w:val="Normal.0"/>
    <w:pPr>
      <w:keepNext w:val="1"/>
      <w:keepLines w:val="1"/>
      <w:pageBreakBefore w:val="0"/>
      <w:widowControl w:val="1"/>
      <w:shd w:val="clear" w:color="auto" w:fill="auto"/>
      <w:suppressAutoHyphens w:val="0"/>
      <w:bidi w:val="0"/>
      <w:spacing w:before="400" w:after="120" w:line="276" w:lineRule="auto"/>
      <w:ind w:left="0" w:right="0" w:firstLine="0"/>
      <w:jc w:val="left"/>
      <w:outlineLvl w:val="0"/>
    </w:pPr>
    <w:rPr>
      <w:rFonts w:ascii="Arial" w:cs="Arial Unicode MS" w:hAnsi="Arial" w:eastAsia="Arial Unicode MS"/>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Normal.0"/>
    <w:pPr>
      <w:keepNext w:val="1"/>
      <w:keepLines w:val="1"/>
      <w:pageBreakBefore w:val="0"/>
      <w:widowControl w:val="1"/>
      <w:shd w:val="clear" w:color="auto" w:fill="auto"/>
      <w:suppressAutoHyphens w:val="0"/>
      <w:bidi w:val="0"/>
      <w:spacing w:before="360" w:after="120" w:line="276" w:lineRule="auto"/>
      <w:ind w:left="0" w:right="0" w:firstLine="0"/>
      <w:jc w:val="left"/>
      <w:outlineLvl w:val="1"/>
    </w:pPr>
    <w:rPr>
      <w:rFonts w:ascii="Arial" w:cs="Arial" w:hAnsi="Arial" w:eastAsia="Arial"/>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76" w:lineRule="auto"/>
      <w:ind w:left="480" w:right="0" w:firstLine="0"/>
      <w:jc w:val="left"/>
      <w:outlineLvl w:val="9"/>
    </w:pPr>
    <w:rPr>
      <w:rFonts w:ascii="Arial Unicode MS" w:cs="Arial Unicode MS" w:hAnsi="Arial Unicode MS" w:eastAsia="Arial" w:hint="eastAsi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已輸入樣式 1">
    <w:name w:val="已輸入樣式 1"/>
    <w:pPr>
      <w:numPr>
        <w:numId w:val="1"/>
      </w:numPr>
    </w:pPr>
  </w:style>
  <w:style w:type="character" w:styleId="citation-108">
    <w:name w:val="citation-108"/>
  </w:style>
  <w:style w:type="numbering" w:styleId="已輸入樣式 2">
    <w:name w:val="已輸入樣式 2"/>
    <w:pPr>
      <w:numPr>
        <w:numId w:val="3"/>
      </w:numPr>
    </w:pPr>
  </w:style>
  <w:style w:type="numbering" w:styleId="已輸入樣式 3">
    <w:name w:val="已輸入樣式 3"/>
    <w:pPr>
      <w:numPr>
        <w:numId w:val="5"/>
      </w:numPr>
    </w:pPr>
  </w:style>
  <w:style w:type="numbering" w:styleId="已輸入樣式 4">
    <w:name w:val="已輸入樣式 4"/>
    <w:pPr>
      <w:numPr>
        <w:numId w:val="7"/>
      </w:numPr>
    </w:pPr>
  </w:style>
  <w:style w:type="numbering" w:styleId="已輸入樣式 5">
    <w:name w:val="已輸入樣式 5"/>
    <w:pPr>
      <w:numPr>
        <w:numId w:val="9"/>
      </w:numPr>
    </w:pPr>
  </w:style>
  <w:style w:type="numbering" w:styleId="已輸入樣式 6">
    <w:name w:val="已輸入樣式 6"/>
    <w:pPr>
      <w:numPr>
        <w:numId w:val="11"/>
      </w:numPr>
    </w:pPr>
  </w:style>
  <w:style w:type="numbering" w:styleId="已輸入樣式 7">
    <w:name w:val="已輸入樣式 7"/>
    <w:pPr>
      <w:numPr>
        <w:numId w:val="1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PingFang TC Semibold"/>
        <a:ea typeface="PingFang TC Semibold"/>
        <a:cs typeface="PingFang TC Semibold"/>
      </a:majorFont>
      <a:minorFont>
        <a:latin typeface="PingFang TC Regular"/>
        <a:ea typeface="PingFang TC Regular"/>
        <a:cs typeface="PingFang TC Regular"/>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