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keepLines w:val="0"/>
        <w:spacing w:before="120" w:after="0" w:line="440" w:lineRule="exact"/>
        <w:rPr>
          <w:rFonts w:ascii="標楷體" w:cs="標楷體" w:hAnsi="標楷體" w:eastAsia="標楷體"/>
          <w:outline w:val="0"/>
          <w:color w:val="000000"/>
          <w:sz w:val="33"/>
          <w:szCs w:val="33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標楷體" w:hAnsi="標楷體"/>
          <w:outline w:val="0"/>
          <w:color w:val="000000"/>
          <w:spacing w:val="539"/>
          <w:sz w:val="36"/>
          <w:szCs w:val="36"/>
          <w:u w:color="000000"/>
          <w:lang w:val="en-US" w:eastAsia="zh-TW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5870897</wp:posOffset>
                </wp:positionH>
                <wp:positionV relativeFrom="line">
                  <wp:posOffset>-450090</wp:posOffset>
                </wp:positionV>
                <wp:extent cx="1175386" cy="370841"/>
                <wp:effectExtent l="0" t="0" r="0" b="0"/>
                <wp:wrapNone/>
                <wp:docPr id="1073741826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6" cy="37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keepNext w:val="0"/>
                              <w:keepLines w:val="0"/>
                              <w:spacing w:before="0" w:after="0" w:line="20" w:lineRule="atLeast"/>
                              <w:jc w:val="right"/>
                            </w:pP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eastAsia="標楷體" w:hint="eastAsia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附件三</w:t>
                            </w: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62.3pt;margin-top:-35.4pt;width:92.6pt;height:29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keepNext w:val="0"/>
                        <w:keepLines w:val="0"/>
                        <w:spacing w:before="0" w:after="0" w:line="20" w:lineRule="atLeast"/>
                        <w:jc w:val="right"/>
                      </w:pP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eastAsia="標楷體" w:hint="eastAsia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附件三</w:t>
                      </w: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標楷體" w:hAnsi="標楷體"/>
          <w:outline w:val="0"/>
          <w:color w:val="000000"/>
          <w:sz w:val="33"/>
          <w:szCs w:val="33"/>
          <w:u w:color="000000"/>
          <w:rtl w:val="0"/>
          <w:lang w:val="en-US" w:eastAsia="zh-TW"/>
          <w14:textFill>
            <w14:solidFill>
              <w14:srgbClr w14:val="000000"/>
            </w14:solidFill>
          </w14:textFill>
        </w:rPr>
        <w:t xml:space="preserve">115 </w:t>
      </w:r>
      <w:r>
        <w:rPr>
          <w:rFonts w:eastAsia="標楷體" w:hint="eastAsia"/>
          <w:outline w:val="0"/>
          <w:color w:val="000000"/>
          <w:sz w:val="33"/>
          <w:szCs w:val="33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年度乳製品副產物（乳清與白脫乳</w:t>
      </w:r>
      <w:r>
        <w:rPr>
          <w:rFonts w:ascii="標楷體" w:hAnsi="標楷體"/>
          <w:outline w:val="0"/>
          <w:color w:val="000000"/>
          <w:sz w:val="33"/>
          <w:szCs w:val="33"/>
          <w:u w:color="000000"/>
          <w:rtl w:val="0"/>
          <w:lang w:val="en-US" w:eastAsia="zh-TW"/>
          <w14:textFill>
            <w14:solidFill>
              <w14:srgbClr w14:val="000000"/>
            </w14:solidFill>
          </w14:textFill>
        </w:rPr>
        <w:t>/</w:t>
      </w:r>
      <w:r>
        <w:rPr>
          <w:rFonts w:eastAsia="標楷體" w:hint="eastAsia"/>
          <w:outline w:val="0"/>
          <w:color w:val="000000"/>
          <w:sz w:val="33"/>
          <w:szCs w:val="33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酪乳）加值再利用產品開發</w:t>
      </w:r>
    </w:p>
    <w:p>
      <w:pPr>
        <w:pStyle w:val="Normal.0"/>
        <w:spacing w:before="240" w:line="240" w:lineRule="atLeast"/>
        <w:ind w:right="86"/>
        <w:jc w:val="center"/>
        <w:rPr>
          <w:rFonts w:ascii="標楷體" w:cs="標楷體" w:hAnsi="標楷體" w:eastAsia="標楷體"/>
          <w:sz w:val="36"/>
          <w:szCs w:val="36"/>
          <w:lang w:val="zh-TW" w:eastAsia="zh-TW"/>
        </w:rPr>
      </w:pPr>
      <w:r>
        <w:rPr>
          <w:rFonts w:eastAsia="標楷體" w:hint="eastAsia"/>
          <w:spacing w:val="359"/>
          <w:sz w:val="36"/>
          <w:szCs w:val="36"/>
          <w:rtl w:val="0"/>
          <w:lang w:val="zh-TW" w:eastAsia="zh-TW"/>
        </w:rPr>
        <w:t>計畫</w:t>
      </w:r>
      <w:r>
        <w:rPr>
          <w:rFonts w:eastAsia="標楷體" w:hint="eastAsia"/>
          <w:spacing w:val="1"/>
          <w:sz w:val="36"/>
          <w:szCs w:val="36"/>
          <w:rtl w:val="0"/>
          <w:lang w:val="zh-TW" w:eastAsia="zh-TW"/>
        </w:rPr>
        <w:t>書</w:t>
      </w:r>
    </w:p>
    <w:p>
      <w:pPr>
        <w:pStyle w:val="Normal.0"/>
        <w:widowControl w:val="0"/>
        <w:spacing w:before="100" w:line="480" w:lineRule="exact"/>
        <w:rPr>
          <w:rFonts w:ascii="標楷體" w:cs="標楷體" w:hAnsi="標楷體" w:eastAsia="標楷體"/>
          <w:kern w:val="2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一、 產品基本資訊與開發動機</w:t>
      </w:r>
    </w:p>
    <w:p>
      <w:pPr>
        <w:pStyle w:val="Normal.0"/>
        <w:spacing w:before="72" w:line="480" w:lineRule="exact"/>
        <w:ind w:left="360" w:firstLine="0"/>
        <w:rPr>
          <w:rFonts w:ascii="標楷體" w:cs="標楷體" w:hAnsi="標楷體"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產品名稱：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spacing w:before="72" w:line="480" w:lineRule="exact"/>
        <w:ind w:left="360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產品組別：</w:t>
      </w:r>
      <w:r>
        <w:rPr>
          <w:rFonts w:ascii="標楷體" w:hAnsi="標楷體" w:hint="default"/>
          <w:sz w:val="28"/>
          <w:szCs w:val="28"/>
          <w:rtl w:val="0"/>
          <w:lang w:val="en-US"/>
        </w:rPr>
        <w:t>□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食品應用組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　</w:t>
      </w:r>
      <w:r>
        <w:rPr>
          <w:rFonts w:ascii="標楷體" w:hAnsi="標楷體" w:hint="default"/>
          <w:sz w:val="28"/>
          <w:szCs w:val="28"/>
          <w:rtl w:val="0"/>
          <w:lang w:val="en-US"/>
        </w:rPr>
        <w:t>□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非食品應用組 </w:t>
      </w: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開發理念：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請簡述產品如何解決副產物浪費問題，及目標市場的需求 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28"/>
          <w:szCs w:val="28"/>
        </w:rPr>
      </w:pP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二、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原料來源與技術規範</w:t>
      </w:r>
    </w:p>
    <w:p>
      <w:pPr>
        <w:pStyle w:val="Normal.0"/>
        <w:spacing w:before="72" w:line="480" w:lineRule="exact"/>
        <w:ind w:left="357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國產原料來源：</w:t>
      </w:r>
      <w:r>
        <w:rPr>
          <w:rFonts w:ascii="標楷體" w:hAnsi="標楷體" w:hint="default"/>
          <w:sz w:val="28"/>
          <w:szCs w:val="28"/>
          <w:rtl w:val="0"/>
          <w:lang w:val="en-US"/>
        </w:rPr>
        <w:t>□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業者自產　</w:t>
      </w:r>
    </w:p>
    <w:p>
      <w:pPr>
        <w:pStyle w:val="Normal.0"/>
        <w:spacing w:before="72" w:line="480" w:lineRule="exact"/>
        <w:ind w:left="244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 w:hint="default"/>
          <w:sz w:val="28"/>
          <w:szCs w:val="28"/>
          <w:rtl w:val="0"/>
          <w:lang w:val="en-US"/>
        </w:rPr>
        <w:t>□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外購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須檢附來源工廠 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HACCP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及生乳證明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)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。 </w:t>
      </w: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副產物比例 </w:t>
      </w:r>
      <w:r>
        <w:rPr>
          <w:rFonts w:ascii="標楷體" w:hAnsi="標楷體"/>
          <w:sz w:val="28"/>
          <w:szCs w:val="28"/>
          <w:rtl w:val="0"/>
          <w:lang w:val="en-US"/>
        </w:rPr>
        <w:t>(w/w)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 需佔總配方 </w:t>
      </w:r>
      <w:r>
        <w:rPr>
          <w:rFonts w:ascii="標楷體" w:hAnsi="標楷體"/>
          <w:sz w:val="28"/>
          <w:szCs w:val="28"/>
          <w:rtl w:val="0"/>
          <w:lang w:val="en-US"/>
        </w:rPr>
        <w:t>25%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 以上 。 </w:t>
      </w: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製程說明：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請以流程圖或簡述說明加工方式，若涉及專利，僅需說明不涉</w:t>
      </w:r>
    </w:p>
    <w:p>
      <w:pPr>
        <w:pStyle w:val="Normal.0"/>
        <w:spacing w:line="480" w:lineRule="exact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        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及商業秘密之概括製程 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spacing w:line="20" w:lineRule="atLeast"/>
        <w:rPr>
          <w:rFonts w:ascii="標楷體" w:cs="標楷體" w:hAnsi="標楷體" w:eastAsia="標楷體"/>
          <w:sz w:val="28"/>
          <w:szCs w:val="28"/>
        </w:rPr>
      </w:pP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三、營運與市場分析</w:t>
      </w:r>
    </w:p>
    <w:p>
      <w:pPr>
        <w:pStyle w:val="Normal.0"/>
        <w:spacing w:before="72" w:line="480" w:lineRule="exact"/>
        <w:ind w:left="42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成本預估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含原料成本、生產成本與建議零售價 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。 </w:t>
      </w:r>
    </w:p>
    <w:p>
      <w:pPr>
        <w:pStyle w:val="Normal.0"/>
        <w:spacing w:before="72" w:line="480" w:lineRule="exact"/>
        <w:ind w:left="42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市場通路規劃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預計進入之通路，如電商、實體賣場或 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B2B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餐廳供應 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。 </w:t>
      </w:r>
    </w:p>
    <w:p>
      <w:pPr>
        <w:pStyle w:val="Normal.0"/>
        <w:spacing w:before="72" w:line="480" w:lineRule="exact"/>
        <w:ind w:left="42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產品特色</w:t>
      </w:r>
      <w:r>
        <w:rPr>
          <w:rFonts w:ascii="標楷體" w:hAnsi="標楷體"/>
          <w:sz w:val="28"/>
          <w:szCs w:val="28"/>
          <w:rtl w:val="0"/>
          <w:lang w:val="en-US"/>
        </w:rPr>
        <w:t>/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競爭分析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本產品相較於市售同類產品的優勢，如天然、永續、</w:t>
      </w:r>
    </w:p>
    <w:p>
      <w:pPr>
        <w:pStyle w:val="Normal.0"/>
        <w:spacing w:line="480" w:lineRule="exact"/>
        <w:ind w:left="42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 xml:space="preserve">                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機能性等 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spacing w:before="72" w:line="480" w:lineRule="exact"/>
        <w:ind w:left="425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目標族群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請描述本產品之主要購買者與核心食用情境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28"/>
          <w:szCs w:val="28"/>
        </w:rPr>
      </w:pPr>
    </w:p>
    <w:p>
      <w:pPr>
        <w:pStyle w:val="Normal.0"/>
        <w:spacing w:before="72" w:line="480" w:lineRule="exact"/>
        <w:rPr>
          <w:rFonts w:ascii="標楷體" w:cs="標楷體" w:hAnsi="標楷體"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 xml:space="preserve">四、實證報告 </w:t>
      </w:r>
      <w:r>
        <w:rPr>
          <w:rFonts w:ascii="標楷體" w:hAnsi="標楷體"/>
          <w:sz w:val="32"/>
          <w:szCs w:val="32"/>
          <w:rtl w:val="0"/>
          <w:lang w:val="en-US"/>
        </w:rPr>
        <w:t>(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 xml:space="preserve">複審時必備 </w:t>
      </w:r>
      <w:r>
        <w:rPr>
          <w:rFonts w:ascii="標楷體" w:hAnsi="標楷體"/>
          <w:sz w:val="32"/>
          <w:szCs w:val="32"/>
          <w:rtl w:val="0"/>
          <w:lang w:val="en-US"/>
        </w:rPr>
        <w:t>)</w:t>
      </w:r>
    </w:p>
    <w:p>
      <w:pPr>
        <w:pStyle w:val="Normal (Web)"/>
        <w:spacing w:before="72" w:after="0" w:line="480" w:lineRule="exact"/>
        <w:ind w:firstLine="714"/>
        <w:rPr>
          <w:rFonts w:ascii="標楷體" w:cs="標楷體" w:hAnsi="標楷體" w:eastAsia="標楷體"/>
          <w:sz w:val="28"/>
          <w:szCs w:val="28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【食品組】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：感官品評紀錄、預估保存期限說明 。 </w:t>
      </w:r>
    </w:p>
    <w:p>
      <w:pPr>
        <w:pStyle w:val="Normal (Web)"/>
        <w:spacing w:before="72" w:after="0" w:line="480" w:lineRule="exact"/>
        <w:ind w:left="714" w:firstLine="0"/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【非食品組】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：【美容保養品】須檢附安全性檢測數據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如生菌數、重金屬等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)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、功能性測試數據；【寵物食品】須提供適口性或營養成分分析初步數據。</w:t>
      </w:r>
      <w:r>
        <w:rPr>
          <w:rFonts w:ascii="標楷體" w:cs="標楷體" w:hAnsi="標楷體" w:eastAsia="標楷體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021" w:right="1021" w:bottom="851" w:left="1021" w:header="964" w:footer="34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標楷體">
    <w:charset w:val="00"/>
    <w:family w:val="roman"/>
    <w:pitch w:val="default"/>
  </w:font>
  <w:font w:name="新細明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372124</wp:posOffset>
          </wp:positionH>
          <wp:positionV relativeFrom="page">
            <wp:posOffset>124534</wp:posOffset>
          </wp:positionV>
          <wp:extent cx="2510790" cy="637541"/>
          <wp:effectExtent l="0" t="0" r="0" b="0"/>
          <wp:wrapNone/>
          <wp:docPr id="1073741825" name="officeArt object" descr="圖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6" descr="圖片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637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en-US"/>
      <w14:textFill>
        <w14:solidFill>
          <w14:srgbClr w14:val="434343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新細明體" w:cs="新細明體" w:hAnsi="新細明體" w:eastAsia="新細明體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